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商务英语</w:t>
      </w:r>
      <w:r>
        <w:rPr>
          <w:rFonts w:hint="eastAsia" w:ascii="华文中宋" w:hAnsi="华文中宋" w:eastAsia="华文中宋"/>
          <w:b/>
          <w:sz w:val="44"/>
          <w:szCs w:val="44"/>
        </w:rPr>
        <w:t>专业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ascii="华文中宋" w:hAnsi="华文中宋" w:eastAsia="华文中宋"/>
          <w:b/>
          <w:sz w:val="44"/>
          <w:szCs w:val="44"/>
        </w:rPr>
        <w:t>星级专业评估</w:t>
      </w:r>
      <w:r>
        <w:rPr>
          <w:rFonts w:hint="eastAsia" w:ascii="华文中宋" w:hAnsi="华文中宋" w:eastAsia="华文中宋"/>
          <w:b/>
          <w:sz w:val="44"/>
          <w:szCs w:val="44"/>
        </w:rPr>
        <w:t>自评报告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jc w:val="both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360" w:lineRule="auto"/>
        <w:ind w:firstLine="1417" w:firstLineChars="443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学校名称：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>大连航运职业技术学院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</w:p>
    <w:p>
      <w:pPr>
        <w:spacing w:line="360" w:lineRule="auto"/>
        <w:ind w:firstLine="1417" w:firstLineChars="443"/>
        <w:jc w:val="left"/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专业名称：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商务英语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</w:p>
    <w:p>
      <w:pPr>
        <w:spacing w:line="360" w:lineRule="auto"/>
        <w:ind w:firstLine="1417" w:firstLineChars="443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评估时间：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>2022</w:t>
      </w:r>
      <w:r>
        <w:rPr>
          <w:rFonts w:hint="eastAsia" w:ascii="仿宋" w:hAnsi="仿宋" w:eastAsia="仿宋"/>
          <w:sz w:val="32"/>
          <w:szCs w:val="32"/>
          <w:u w:val="single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>12</w:t>
      </w:r>
      <w:r>
        <w:rPr>
          <w:rFonts w:hint="eastAsia" w:ascii="仿宋" w:hAnsi="仿宋" w:eastAsia="仿宋"/>
          <w:sz w:val="32"/>
          <w:szCs w:val="32"/>
          <w:u w:val="single"/>
        </w:rPr>
        <w:t>月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</w:t>
      </w:r>
    </w:p>
    <w:p>
      <w:pPr>
        <w:spacing w:line="360" w:lineRule="auto"/>
        <w:jc w:val="center"/>
        <w:rPr>
          <w:sz w:val="32"/>
          <w:szCs w:val="32"/>
          <w:u w:val="single"/>
        </w:rPr>
      </w:pPr>
    </w:p>
    <w:p>
      <w:pPr>
        <w:pStyle w:val="5"/>
        <w:numPr>
          <w:numId w:val="0"/>
        </w:numPr>
        <w:spacing w:line="360" w:lineRule="auto"/>
        <w:jc w:val="left"/>
        <w:rPr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1" w:name="_GoBack"/>
      <w:bookmarkEnd w:id="1"/>
    </w:p>
    <w:p>
      <w:pPr>
        <w:pStyle w:val="5"/>
        <w:numPr>
          <w:ilvl w:val="0"/>
          <w:numId w:val="1"/>
        </w:numPr>
        <w:spacing w:line="360" w:lineRule="auto"/>
        <w:ind w:hanging="579" w:firstLineChars="0"/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评估依据</w:t>
      </w:r>
    </w:p>
    <w:p>
      <w:pPr>
        <w:spacing w:line="360" w:lineRule="auto"/>
        <w:ind w:firstLine="638" w:firstLineChars="228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依据辽宁省高等职业教育专业评估实施方案，结合本专业实际情况，逐个指标进行评估。</w:t>
      </w:r>
    </w:p>
    <w:p>
      <w:pPr>
        <w:pStyle w:val="5"/>
        <w:numPr>
          <w:ilvl w:val="0"/>
          <w:numId w:val="1"/>
        </w:numPr>
        <w:spacing w:line="360" w:lineRule="auto"/>
        <w:ind w:hanging="579" w:firstLineChars="0"/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评估结论</w:t>
      </w:r>
    </w:p>
    <w:p>
      <w:pPr>
        <w:pStyle w:val="5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商务英语</w:t>
      </w:r>
      <w:r>
        <w:rPr>
          <w:rFonts w:hint="eastAsia" w:ascii="仿宋" w:hAnsi="仿宋" w:eastAsia="仿宋"/>
          <w:sz w:val="28"/>
          <w:szCs w:val="28"/>
        </w:rPr>
        <w:t>专业，依据辽宁省高等职业教育专业评估实施方案，自评结论为优秀专业。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分项评估结论</w:t>
      </w:r>
    </w:p>
    <w:p>
      <w:pPr>
        <w:pStyle w:val="5"/>
        <w:numPr>
          <w:ilvl w:val="0"/>
          <w:numId w:val="2"/>
        </w:numPr>
        <w:spacing w:line="360" w:lineRule="auto"/>
        <w:ind w:left="0" w:firstLine="687" w:firstLineChars="228"/>
        <w:jc w:val="left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定量评价</w:t>
      </w:r>
    </w:p>
    <w:p>
      <w:pPr>
        <w:pStyle w:val="5"/>
        <w:numPr>
          <w:ilvl w:val="1"/>
          <w:numId w:val="2"/>
        </w:numPr>
        <w:spacing w:line="360" w:lineRule="auto"/>
        <w:ind w:left="0" w:firstLine="641" w:firstLineChars="228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培养目标</w:t>
      </w:r>
    </w:p>
    <w:p>
      <w:pPr>
        <w:widowControl/>
        <w:ind w:firstLine="638" w:firstLineChars="228"/>
        <w:jc w:val="both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二级指标评估结果分别为：“培养目标的制定”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95</w:t>
      </w:r>
      <w:r>
        <w:rPr>
          <w:rFonts w:ascii="仿宋" w:hAnsi="仿宋" w:eastAsia="仿宋"/>
          <w:sz w:val="28"/>
          <w:szCs w:val="28"/>
        </w:rPr>
        <w:t>分、“培养目标的执行”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90</w:t>
      </w:r>
      <w:r>
        <w:rPr>
          <w:rFonts w:ascii="仿宋" w:hAnsi="仿宋" w:eastAsia="仿宋"/>
          <w:sz w:val="28"/>
          <w:szCs w:val="28"/>
        </w:rPr>
        <w:t>分、“培养目标的达成”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90</w:t>
      </w:r>
      <w:r>
        <w:rPr>
          <w:rFonts w:ascii="仿宋" w:hAnsi="仿宋" w:eastAsia="仿宋"/>
          <w:sz w:val="28"/>
          <w:szCs w:val="28"/>
        </w:rPr>
        <w:t>分。评估结果显示，该专业培养目标制定较科学合理；培养目标执行和达成情况</w:t>
      </w:r>
      <w:r>
        <w:rPr>
          <w:rFonts w:hint="eastAsia" w:ascii="仿宋" w:hAnsi="仿宋" w:eastAsia="仿宋"/>
          <w:sz w:val="28"/>
          <w:szCs w:val="28"/>
        </w:rPr>
        <w:t>良好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pStyle w:val="5"/>
        <w:numPr>
          <w:ilvl w:val="1"/>
          <w:numId w:val="2"/>
        </w:numPr>
        <w:spacing w:line="360" w:lineRule="auto"/>
        <w:ind w:left="0" w:firstLine="641" w:firstLineChars="228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培养规格</w:t>
      </w:r>
    </w:p>
    <w:p>
      <w:pPr>
        <w:spacing w:line="360" w:lineRule="auto"/>
        <w:ind w:firstLine="638" w:firstLineChars="228"/>
        <w:jc w:val="both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 个二级指标评估结果分别为：“学生素质”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90</w:t>
      </w:r>
      <w:r>
        <w:rPr>
          <w:rFonts w:ascii="仿宋" w:hAnsi="仿宋" w:eastAsia="仿宋"/>
          <w:sz w:val="28"/>
          <w:szCs w:val="28"/>
        </w:rPr>
        <w:t>分、“专业知识”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95</w:t>
      </w:r>
      <w:r>
        <w:rPr>
          <w:rFonts w:ascii="仿宋" w:hAnsi="仿宋" w:eastAsia="仿宋"/>
          <w:sz w:val="28"/>
          <w:szCs w:val="28"/>
        </w:rPr>
        <w:t>分、“学生能力”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90</w:t>
      </w:r>
      <w:r>
        <w:rPr>
          <w:rFonts w:ascii="仿宋" w:hAnsi="仿宋" w:eastAsia="仿宋"/>
          <w:sz w:val="28"/>
          <w:szCs w:val="28"/>
        </w:rPr>
        <w:t>分。评估结果显示，</w:t>
      </w:r>
      <w:r>
        <w:rPr>
          <w:rFonts w:hint="eastAsia" w:ascii="仿宋" w:hAnsi="仿宋" w:eastAsia="仿宋"/>
          <w:sz w:val="28"/>
          <w:szCs w:val="28"/>
        </w:rPr>
        <w:t>本本专业</w:t>
      </w:r>
      <w:r>
        <w:rPr>
          <w:rFonts w:ascii="仿宋" w:hAnsi="仿宋" w:eastAsia="仿宋"/>
          <w:sz w:val="28"/>
          <w:szCs w:val="28"/>
        </w:rPr>
        <w:t>在国家高等职业专业教学标准要求的素质、知识、能力等培养规格达成情况</w:t>
      </w:r>
      <w:r>
        <w:rPr>
          <w:rFonts w:hint="eastAsia" w:ascii="仿宋" w:hAnsi="仿宋" w:eastAsia="仿宋"/>
          <w:sz w:val="28"/>
          <w:szCs w:val="28"/>
        </w:rPr>
        <w:t>较好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pStyle w:val="5"/>
        <w:numPr>
          <w:ilvl w:val="1"/>
          <w:numId w:val="2"/>
        </w:numPr>
        <w:spacing w:line="360" w:lineRule="auto"/>
        <w:ind w:left="0" w:firstLine="641" w:firstLineChars="228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课程体系</w:t>
      </w:r>
    </w:p>
    <w:p>
      <w:pPr>
        <w:spacing w:line="360" w:lineRule="auto"/>
        <w:ind w:firstLine="638" w:firstLineChars="2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 个二级指标评估结果为：“学时安排”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95</w:t>
      </w:r>
      <w:r>
        <w:rPr>
          <w:rFonts w:ascii="仿宋" w:hAnsi="仿宋" w:eastAsia="仿宋"/>
          <w:sz w:val="28"/>
          <w:szCs w:val="28"/>
        </w:rPr>
        <w:t>分。评估结果显示，专业课程体系</w:t>
      </w:r>
      <w:r>
        <w:rPr>
          <w:rFonts w:hint="eastAsia" w:ascii="仿宋" w:hAnsi="仿宋" w:eastAsia="仿宋"/>
          <w:sz w:val="28"/>
          <w:szCs w:val="28"/>
        </w:rPr>
        <w:t>较好</w:t>
      </w:r>
      <w:r>
        <w:rPr>
          <w:rFonts w:ascii="仿宋" w:hAnsi="仿宋" w:eastAsia="仿宋"/>
          <w:sz w:val="28"/>
          <w:szCs w:val="28"/>
        </w:rPr>
        <w:t>满足专业教学标准。</w:t>
      </w:r>
    </w:p>
    <w:p>
      <w:pPr>
        <w:pStyle w:val="5"/>
        <w:numPr>
          <w:ilvl w:val="1"/>
          <w:numId w:val="2"/>
        </w:numPr>
        <w:spacing w:line="360" w:lineRule="auto"/>
        <w:ind w:left="0" w:firstLine="641" w:firstLineChars="228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师资队伍</w:t>
      </w:r>
    </w:p>
    <w:p>
      <w:pPr>
        <w:spacing w:line="360" w:lineRule="auto"/>
        <w:ind w:firstLine="638" w:firstLineChars="228"/>
        <w:jc w:val="both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 个二级指标评估结果分别为：“队伍结构”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90</w:t>
      </w:r>
      <w:r>
        <w:rPr>
          <w:rFonts w:ascii="仿宋" w:hAnsi="仿宋" w:eastAsia="仿宋"/>
          <w:sz w:val="28"/>
          <w:szCs w:val="28"/>
        </w:rPr>
        <w:t>分、“专任教师”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90</w:t>
      </w:r>
      <w:r>
        <w:rPr>
          <w:rFonts w:ascii="仿宋" w:hAnsi="仿宋" w:eastAsia="仿宋"/>
          <w:sz w:val="28"/>
          <w:szCs w:val="28"/>
        </w:rPr>
        <w:t>分、“专业带头人”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90</w:t>
      </w:r>
      <w:r>
        <w:rPr>
          <w:rFonts w:ascii="仿宋" w:hAnsi="仿宋" w:eastAsia="仿宋"/>
          <w:sz w:val="28"/>
          <w:szCs w:val="28"/>
        </w:rPr>
        <w:t>分、“兼职教师”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80</w:t>
      </w:r>
      <w:r>
        <w:rPr>
          <w:rFonts w:ascii="仿宋" w:hAnsi="仿宋" w:eastAsia="仿宋"/>
          <w:sz w:val="28"/>
          <w:szCs w:val="28"/>
        </w:rPr>
        <w:t>分。评估结果显示，专业教师的数量、结构、教学水平等较好地满足教学需要和专业教学标准。</w:t>
      </w:r>
    </w:p>
    <w:p>
      <w:pPr>
        <w:pStyle w:val="5"/>
        <w:numPr>
          <w:ilvl w:val="1"/>
          <w:numId w:val="2"/>
        </w:numPr>
        <w:spacing w:line="360" w:lineRule="auto"/>
        <w:ind w:left="0" w:firstLine="641" w:firstLineChars="228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教学基本条件</w:t>
      </w:r>
    </w:p>
    <w:p>
      <w:pPr>
        <w:spacing w:line="360" w:lineRule="auto"/>
        <w:ind w:firstLine="638" w:firstLineChars="228"/>
        <w:jc w:val="both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 个二级指标评估结果分别为：“教学设施”85分、“教学资源”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80</w:t>
      </w:r>
      <w:r>
        <w:rPr>
          <w:rFonts w:ascii="仿宋" w:hAnsi="仿宋" w:eastAsia="仿宋"/>
          <w:sz w:val="28"/>
          <w:szCs w:val="28"/>
        </w:rPr>
        <w:t>分、“实训教学条件”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90</w:t>
      </w:r>
      <w:r>
        <w:rPr>
          <w:rFonts w:ascii="仿宋" w:hAnsi="仿宋" w:eastAsia="仿宋"/>
          <w:sz w:val="28"/>
          <w:szCs w:val="28"/>
        </w:rPr>
        <w:t>分、“顶岗实习”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ascii="仿宋" w:hAnsi="仿宋" w:eastAsia="仿宋"/>
          <w:sz w:val="28"/>
          <w:szCs w:val="28"/>
        </w:rPr>
        <w:t>分。评估结果显示，专业教学设施满足高等职业学校专业教学标准；教材、图书、数字化资源较</w:t>
      </w:r>
      <w:r>
        <w:rPr>
          <w:rFonts w:hint="eastAsia" w:ascii="仿宋" w:hAnsi="仿宋" w:eastAsia="仿宋"/>
          <w:sz w:val="28"/>
          <w:szCs w:val="28"/>
        </w:rPr>
        <w:t>好</w:t>
      </w:r>
      <w:r>
        <w:rPr>
          <w:rFonts w:ascii="仿宋" w:hAnsi="仿宋" w:eastAsia="仿宋"/>
          <w:sz w:val="28"/>
          <w:szCs w:val="28"/>
        </w:rPr>
        <w:t>；实训条件及顶岗实习满足职业学校专业（类）顶岗实习标准和职业院校专业实训教学条件建设标准。</w:t>
      </w:r>
    </w:p>
    <w:p>
      <w:pPr>
        <w:pStyle w:val="5"/>
        <w:numPr>
          <w:ilvl w:val="1"/>
          <w:numId w:val="2"/>
        </w:numPr>
        <w:spacing w:line="360" w:lineRule="auto"/>
        <w:ind w:left="0" w:firstLine="641" w:firstLineChars="228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专业建设成效</w:t>
      </w:r>
    </w:p>
    <w:p>
      <w:pPr>
        <w:widowControl/>
        <w:ind w:firstLine="638" w:firstLineChars="228"/>
        <w:jc w:val="both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7 个二级指标评估结果分别为：“教学名师”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90</w:t>
      </w:r>
      <w:r>
        <w:rPr>
          <w:rFonts w:ascii="仿宋" w:hAnsi="仿宋" w:eastAsia="仿宋"/>
          <w:sz w:val="28"/>
          <w:szCs w:val="28"/>
        </w:rPr>
        <w:t>分、“精品课程”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90</w:t>
      </w:r>
      <w:r>
        <w:rPr>
          <w:rFonts w:ascii="仿宋" w:hAnsi="仿宋" w:eastAsia="仿宋"/>
          <w:sz w:val="28"/>
          <w:szCs w:val="28"/>
        </w:rPr>
        <w:t>分、“规划、精品、统编教材”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ascii="仿宋" w:hAnsi="仿宋" w:eastAsia="仿宋"/>
          <w:sz w:val="28"/>
          <w:szCs w:val="28"/>
        </w:rPr>
        <w:t>分、“重点专业”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ascii="仿宋" w:hAnsi="仿宋" w:eastAsia="仿宋"/>
          <w:sz w:val="28"/>
          <w:szCs w:val="28"/>
        </w:rPr>
        <w:t>分、“特色专业”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ascii="仿宋" w:hAnsi="仿宋" w:eastAsia="仿宋"/>
          <w:sz w:val="28"/>
          <w:szCs w:val="28"/>
        </w:rPr>
        <w:t>分、“教学成果奖”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90</w:t>
      </w:r>
      <w:r>
        <w:rPr>
          <w:rFonts w:ascii="仿宋" w:hAnsi="仿宋" w:eastAsia="仿宋"/>
          <w:sz w:val="28"/>
          <w:szCs w:val="28"/>
        </w:rPr>
        <w:t>分、“社会声誉”90分。评估结果显示，专业取得较</w:t>
      </w:r>
      <w:r>
        <w:rPr>
          <w:rFonts w:hint="eastAsia" w:ascii="仿宋" w:hAnsi="仿宋" w:eastAsia="仿宋"/>
          <w:sz w:val="28"/>
          <w:szCs w:val="28"/>
          <w:lang w:eastAsia="zh-CN"/>
        </w:rPr>
        <w:t>多</w:t>
      </w:r>
      <w:r>
        <w:rPr>
          <w:rFonts w:ascii="仿宋" w:hAnsi="仿宋" w:eastAsia="仿宋"/>
          <w:sz w:val="28"/>
          <w:szCs w:val="28"/>
        </w:rPr>
        <w:t>教学奖项；专业人才培养质量的社会认可度</w:t>
      </w:r>
      <w:r>
        <w:rPr>
          <w:rFonts w:hint="eastAsia" w:ascii="仿宋" w:hAnsi="仿宋" w:eastAsia="仿宋"/>
          <w:sz w:val="28"/>
          <w:szCs w:val="28"/>
        </w:rPr>
        <w:t>较好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pStyle w:val="5"/>
        <w:numPr>
          <w:ilvl w:val="0"/>
          <w:numId w:val="2"/>
        </w:numPr>
        <w:spacing w:line="360" w:lineRule="auto"/>
        <w:ind w:left="0" w:firstLine="687" w:firstLineChars="228"/>
        <w:jc w:val="left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定性评价</w:t>
      </w:r>
    </w:p>
    <w:p>
      <w:pPr>
        <w:pStyle w:val="5"/>
        <w:numPr>
          <w:ilvl w:val="1"/>
          <w:numId w:val="2"/>
        </w:numPr>
        <w:spacing w:line="360" w:lineRule="auto"/>
        <w:ind w:left="0" w:firstLine="641" w:firstLineChars="228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专业顶层设计</w:t>
      </w:r>
    </w:p>
    <w:p>
      <w:pPr>
        <w:spacing w:line="360" w:lineRule="auto"/>
        <w:ind w:firstLine="638" w:firstLineChars="228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 个二级指标评估结果分别为：“专业发展规划”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90</w:t>
      </w:r>
      <w:r>
        <w:rPr>
          <w:rFonts w:hint="eastAsia" w:ascii="仿宋" w:hAnsi="仿宋" w:eastAsia="仿宋"/>
          <w:sz w:val="28"/>
          <w:szCs w:val="28"/>
        </w:rPr>
        <w:t>分、“专业人才培养特色”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90</w:t>
      </w:r>
      <w:r>
        <w:rPr>
          <w:rFonts w:hint="eastAsia" w:ascii="仿宋" w:hAnsi="仿宋" w:eastAsia="仿宋"/>
          <w:sz w:val="28"/>
          <w:szCs w:val="28"/>
        </w:rPr>
        <w:t>分、“专业人才培养方案”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95</w:t>
      </w:r>
      <w:r>
        <w:rPr>
          <w:rFonts w:hint="eastAsia" w:ascii="仿宋" w:hAnsi="仿宋" w:eastAsia="仿宋"/>
          <w:sz w:val="28"/>
          <w:szCs w:val="28"/>
        </w:rPr>
        <w:t>分。评估结果显示，专业发展规划较科学合理；专业培养特色鲜明；专业培养方案符合专业教学标准和学校定位及特色。</w:t>
      </w:r>
    </w:p>
    <w:p>
      <w:pPr>
        <w:pStyle w:val="5"/>
        <w:numPr>
          <w:ilvl w:val="1"/>
          <w:numId w:val="2"/>
        </w:numPr>
        <w:spacing w:line="360" w:lineRule="auto"/>
        <w:ind w:left="0" w:firstLine="641" w:firstLineChars="228"/>
        <w:jc w:val="left"/>
        <w:rPr>
          <w:rFonts w:ascii="仿宋" w:hAnsi="仿宋" w:eastAsia="仿宋"/>
          <w:b/>
          <w:bCs/>
          <w:sz w:val="28"/>
          <w:szCs w:val="28"/>
        </w:rPr>
      </w:pPr>
      <w:bookmarkStart w:id="0" w:name="_Hlk62202404"/>
      <w:r>
        <w:rPr>
          <w:rFonts w:hint="eastAsia" w:ascii="仿宋" w:hAnsi="仿宋" w:eastAsia="仿宋"/>
          <w:b/>
          <w:bCs/>
          <w:sz w:val="28"/>
          <w:szCs w:val="28"/>
        </w:rPr>
        <w:t>质量保障与持续改进</w:t>
      </w:r>
    </w:p>
    <w:bookmarkEnd w:id="0"/>
    <w:p>
      <w:pPr>
        <w:widowControl/>
        <w:ind w:firstLine="638" w:firstLineChars="228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 个二级指标评估结果分别为：“教学管理制度”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90</w:t>
      </w:r>
      <w:r>
        <w:rPr>
          <w:rFonts w:hint="eastAsia" w:ascii="仿宋" w:hAnsi="仿宋" w:eastAsia="仿宋"/>
          <w:sz w:val="28"/>
          <w:szCs w:val="28"/>
        </w:rPr>
        <w:t>分、“质量保障与改进机制”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hint="eastAsia" w:ascii="仿宋" w:hAnsi="仿宋" w:eastAsia="仿宋"/>
          <w:sz w:val="28"/>
          <w:szCs w:val="28"/>
        </w:rPr>
        <w:t>分、“毕业生跟踪反馈机制及社会评价机制”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hint="eastAsia" w:ascii="仿宋" w:hAnsi="仿宋" w:eastAsia="仿宋"/>
          <w:sz w:val="28"/>
          <w:szCs w:val="28"/>
        </w:rPr>
        <w:t>分、“专业教学持续改进效果”</w:t>
      </w:r>
      <w:r>
        <w:rPr>
          <w:rFonts w:ascii="仿宋" w:hAnsi="仿宋" w:eastAsia="仿宋"/>
          <w:sz w:val="28"/>
          <w:szCs w:val="28"/>
        </w:rPr>
        <w:t>85</w:t>
      </w:r>
      <w:r>
        <w:rPr>
          <w:rFonts w:hint="eastAsia" w:ascii="仿宋" w:hAnsi="仿宋" w:eastAsia="仿宋"/>
          <w:sz w:val="28"/>
          <w:szCs w:val="28"/>
        </w:rPr>
        <w:t>分。评估结果显示，专业的教学管理制度和质量保障体系规范；持续改进的效果较好。</w:t>
      </w:r>
    </w:p>
    <w:p>
      <w:pPr>
        <w:pStyle w:val="5"/>
        <w:numPr>
          <w:ilvl w:val="1"/>
          <w:numId w:val="2"/>
        </w:numPr>
        <w:spacing w:line="360" w:lineRule="auto"/>
        <w:ind w:left="0" w:firstLine="641" w:firstLineChars="228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三教改革</w:t>
      </w:r>
    </w:p>
    <w:p>
      <w:pPr>
        <w:ind w:firstLine="638" w:firstLineChars="228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 个二级指标评估结果分别为：“教师改革”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90</w:t>
      </w:r>
      <w:r>
        <w:rPr>
          <w:rFonts w:hint="eastAsia" w:ascii="仿宋" w:hAnsi="仿宋" w:eastAsia="仿宋"/>
          <w:sz w:val="28"/>
          <w:szCs w:val="28"/>
        </w:rPr>
        <w:t>分、“教材改革”</w:t>
      </w:r>
      <w:r>
        <w:rPr>
          <w:rFonts w:ascii="仿宋" w:hAnsi="仿宋" w:eastAsia="仿宋"/>
          <w:sz w:val="28"/>
          <w:szCs w:val="28"/>
        </w:rPr>
        <w:t>85</w:t>
      </w:r>
      <w:r>
        <w:rPr>
          <w:rFonts w:hint="eastAsia" w:ascii="仿宋" w:hAnsi="仿宋" w:eastAsia="仿宋"/>
          <w:sz w:val="28"/>
          <w:szCs w:val="28"/>
        </w:rPr>
        <w:t>分、“教法改革”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hint="eastAsia" w:ascii="仿宋" w:hAnsi="仿宋" w:eastAsia="仿宋"/>
          <w:sz w:val="28"/>
          <w:szCs w:val="28"/>
        </w:rPr>
        <w:t>分。评估结果显示，专业三教改革规划设计合理；改革取得较好的效果。</w:t>
      </w:r>
    </w:p>
    <w:p>
      <w:pPr>
        <w:pStyle w:val="5"/>
        <w:numPr>
          <w:ilvl w:val="1"/>
          <w:numId w:val="2"/>
        </w:numPr>
        <w:spacing w:line="360" w:lineRule="auto"/>
        <w:ind w:left="0" w:firstLine="641" w:firstLineChars="228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 xml:space="preserve">产教融合、校企合作 </w:t>
      </w:r>
    </w:p>
    <w:p>
      <w:pPr>
        <w:widowControl/>
        <w:ind w:firstLine="638" w:firstLineChars="228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 个二级指标评估结果分别为：“产教融合、校企合作机制”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80</w:t>
      </w:r>
      <w:r>
        <w:rPr>
          <w:rFonts w:hint="eastAsia" w:ascii="仿宋" w:hAnsi="仿宋" w:eastAsia="仿宋"/>
          <w:sz w:val="28"/>
          <w:szCs w:val="28"/>
        </w:rPr>
        <w:t>分、“知行合一、工学结合，聚焦高技能培养”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hint="eastAsia" w:ascii="仿宋" w:hAnsi="仿宋" w:eastAsia="仿宋"/>
          <w:sz w:val="28"/>
          <w:szCs w:val="28"/>
        </w:rPr>
        <w:t>分。评估结果显示，专业基本上建立产教融合、校企合作机制；专业人才培养效果较好。</w:t>
      </w:r>
    </w:p>
    <w:p>
      <w:pPr>
        <w:pStyle w:val="5"/>
        <w:numPr>
          <w:ilvl w:val="1"/>
          <w:numId w:val="2"/>
        </w:numPr>
        <w:spacing w:line="360" w:lineRule="auto"/>
        <w:ind w:left="0" w:firstLine="641" w:firstLineChars="228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 xml:space="preserve">服务辽宁 </w:t>
      </w:r>
    </w:p>
    <w:p>
      <w:pPr>
        <w:widowControl/>
        <w:ind w:firstLine="638" w:firstLineChars="228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 个二级指标评估结果分别为：“专业与辽宁产业契合度”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hint="eastAsia" w:ascii="仿宋" w:hAnsi="仿宋" w:eastAsia="仿宋"/>
          <w:sz w:val="28"/>
          <w:szCs w:val="28"/>
        </w:rPr>
        <w:t>分、“专业在辽招生、就业情况”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hint="eastAsia" w:ascii="仿宋" w:hAnsi="仿宋" w:eastAsia="仿宋"/>
          <w:sz w:val="28"/>
          <w:szCs w:val="28"/>
        </w:rPr>
        <w:t>分、“专业对辽行业、企业技术服务和职业培训服务情况”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80</w:t>
      </w:r>
      <w:r>
        <w:rPr>
          <w:rFonts w:hint="eastAsia" w:ascii="仿宋" w:hAnsi="仿宋" w:eastAsia="仿宋"/>
          <w:sz w:val="28"/>
          <w:szCs w:val="28"/>
        </w:rPr>
        <w:t>分、“专业在辽企业知名度，毕业生在辽企业满意度”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hint="eastAsia" w:ascii="仿宋" w:hAnsi="仿宋" w:eastAsia="仿宋"/>
          <w:sz w:val="28"/>
          <w:szCs w:val="28"/>
        </w:rPr>
        <w:t>分。评估结果显示，专业与辽宁产业契合度较好；在辽宁招生就业情况较好；在辽宁技术服务和职业培训服务方面情况较好；专业在知名度和毕业生在辽宁企业满意度较好。</w:t>
      </w:r>
    </w:p>
    <w:p>
      <w:pPr>
        <w:widowControl/>
        <w:ind w:firstLine="638" w:firstLineChars="228"/>
        <w:jc w:val="both"/>
        <w:rPr>
          <w:rFonts w:hint="eastAsia" w:ascii="仿宋" w:hAnsi="仿宋" w:eastAsia="仿宋"/>
          <w:sz w:val="28"/>
          <w:szCs w:val="28"/>
        </w:rPr>
      </w:pPr>
    </w:p>
    <w:p/>
    <w:p/>
    <w:sectPr>
      <w:footerReference r:id="rId3" w:type="default"/>
      <w:pgSz w:w="11906" w:h="16838"/>
      <w:pgMar w:top="1440" w:right="1486" w:bottom="1440" w:left="16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213387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6C5EFB"/>
    <w:multiLevelType w:val="multilevel"/>
    <w:tmpl w:val="1D6C5EFB"/>
    <w:lvl w:ilvl="0" w:tentative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362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63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364" w:hanging="180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865" w:hanging="216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3006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3507" w:hanging="2520"/>
      </w:pPr>
      <w:rPr>
        <w:rFonts w:hint="default"/>
      </w:rPr>
    </w:lvl>
  </w:abstractNum>
  <w:abstractNum w:abstractNumId="1">
    <w:nsid w:val="20CB4B88"/>
    <w:multiLevelType w:val="multilevel"/>
    <w:tmpl w:val="20CB4B88"/>
    <w:lvl w:ilvl="0" w:tentative="0">
      <w:start w:val="1"/>
      <w:numFmt w:val="japaneseCounting"/>
      <w:lvlText w:val="%1、"/>
      <w:lvlJc w:val="left"/>
      <w:pPr>
        <w:ind w:left="579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699" w:hanging="420"/>
      </w:pPr>
    </w:lvl>
    <w:lvl w:ilvl="2" w:tentative="0">
      <w:start w:val="1"/>
      <w:numFmt w:val="lowerRoman"/>
      <w:lvlText w:val="%3."/>
      <w:lvlJc w:val="right"/>
      <w:pPr>
        <w:ind w:left="1119" w:hanging="420"/>
      </w:pPr>
    </w:lvl>
    <w:lvl w:ilvl="3" w:tentative="0">
      <w:start w:val="1"/>
      <w:numFmt w:val="decimal"/>
      <w:lvlText w:val="%4."/>
      <w:lvlJc w:val="left"/>
      <w:pPr>
        <w:ind w:left="1539" w:hanging="420"/>
      </w:pPr>
    </w:lvl>
    <w:lvl w:ilvl="4" w:tentative="0">
      <w:start w:val="1"/>
      <w:numFmt w:val="lowerLetter"/>
      <w:lvlText w:val="%5)"/>
      <w:lvlJc w:val="left"/>
      <w:pPr>
        <w:ind w:left="1959" w:hanging="420"/>
      </w:pPr>
    </w:lvl>
    <w:lvl w:ilvl="5" w:tentative="0">
      <w:start w:val="1"/>
      <w:numFmt w:val="lowerRoman"/>
      <w:lvlText w:val="%6."/>
      <w:lvlJc w:val="right"/>
      <w:pPr>
        <w:ind w:left="2379" w:hanging="420"/>
      </w:pPr>
    </w:lvl>
    <w:lvl w:ilvl="6" w:tentative="0">
      <w:start w:val="1"/>
      <w:numFmt w:val="decimal"/>
      <w:lvlText w:val="%7."/>
      <w:lvlJc w:val="left"/>
      <w:pPr>
        <w:ind w:left="2799" w:hanging="420"/>
      </w:pPr>
    </w:lvl>
    <w:lvl w:ilvl="7" w:tentative="0">
      <w:start w:val="1"/>
      <w:numFmt w:val="lowerLetter"/>
      <w:lvlText w:val="%8)"/>
      <w:lvlJc w:val="left"/>
      <w:pPr>
        <w:ind w:left="3219" w:hanging="420"/>
      </w:pPr>
    </w:lvl>
    <w:lvl w:ilvl="8" w:tentative="0">
      <w:start w:val="1"/>
      <w:numFmt w:val="lowerRoman"/>
      <w:lvlText w:val="%9."/>
      <w:lvlJc w:val="right"/>
      <w:pPr>
        <w:ind w:left="363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NmFkYjM2ZjVlNjlhYTExODFlMTExZDY5YzQ0NzkifQ=="/>
  </w:docVars>
  <w:rsids>
    <w:rsidRoot w:val="06E02627"/>
    <w:rsid w:val="06E02627"/>
    <w:rsid w:val="5ACD7825"/>
    <w:rsid w:val="637C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2023-01-05T05:22:00Z</dcterms:created>
  <dc:creator>果壳里的宇宙</dc:creator>
  <cp:lastModifiedBy>森林</cp:lastModifiedBy>
  <dcterms:modified xsi:type="dcterms:W3CDTF">2023-01-05T05:46:20Z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5AC00309FD3B47C7853FF4962DAAB1A2</vt:lpwstr>
  </property>
</Properties>
</file>