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jc w:val="center"/>
        <w:rPr>
          <w:rFonts w:ascii="宋体" w:hAnsi="宋体" w:cs="宋体"/>
          <w:b/>
          <w:bCs/>
          <w:sz w:val="44"/>
          <w:szCs w:val="44"/>
        </w:rPr>
      </w:pPr>
      <w:r>
        <w:rPr>
          <w:rFonts w:hint="eastAsia" w:ascii="宋体" w:hAnsi="宋体" w:cs="宋体"/>
          <w:b/>
          <w:bCs/>
          <w:sz w:val="44"/>
          <w:szCs w:val="44"/>
        </w:rPr>
        <w:t>大连航运职业技术学院</w:t>
      </w:r>
    </w:p>
    <w:p>
      <w:pPr>
        <w:jc w:val="center"/>
        <w:rPr>
          <w:rFonts w:hint="eastAsia" w:ascii="宋体" w:hAnsi="宋体" w:cs="宋体"/>
          <w:b/>
          <w:bCs/>
          <w:sz w:val="44"/>
          <w:szCs w:val="44"/>
        </w:rPr>
      </w:pPr>
      <w:r>
        <w:rPr>
          <w:rFonts w:hint="eastAsia" w:ascii="宋体" w:hAnsi="宋体" w:cs="宋体"/>
          <w:b/>
          <w:bCs/>
          <w:sz w:val="44"/>
          <w:szCs w:val="44"/>
        </w:rPr>
        <w:t>高等职业教育质量年度报告</w:t>
      </w:r>
    </w:p>
    <w:p>
      <w:pPr>
        <w:jc w:val="center"/>
        <w:rPr>
          <w:rFonts w:ascii="宋体" w:hAnsi="宋体" w:cs="宋体"/>
          <w:b/>
          <w:bCs/>
          <w:sz w:val="44"/>
          <w:szCs w:val="44"/>
        </w:rPr>
      </w:pPr>
      <w:r>
        <w:rPr>
          <w:rFonts w:hint="eastAsia" w:ascii="宋体" w:hAnsi="宋体" w:cs="宋体"/>
          <w:b/>
          <w:bCs/>
          <w:sz w:val="44"/>
          <w:szCs w:val="44"/>
        </w:rPr>
        <w:t>（2023）</w:t>
      </w:r>
    </w:p>
    <w:p>
      <w:pPr>
        <w:jc w:val="center"/>
        <w:rPr>
          <w:rFonts w:ascii="黑体" w:hAnsi="宋体" w:eastAsia="黑体"/>
          <w:sz w:val="48"/>
          <w:szCs w:val="48"/>
        </w:rPr>
      </w:pPr>
    </w:p>
    <w:p>
      <w:pPr>
        <w:jc w:val="center"/>
        <w:rPr>
          <w:rFonts w:ascii="黑体" w:hAnsi="宋体" w:eastAsia="黑体"/>
          <w:sz w:val="48"/>
          <w:szCs w:val="48"/>
        </w:rPr>
      </w:pPr>
      <w:bookmarkStart w:id="0" w:name="_Toc438800759"/>
      <w:bookmarkStart w:id="1" w:name="_Toc438800818"/>
      <w:bookmarkStart w:id="2" w:name="_Toc468957876"/>
      <w:bookmarkStart w:id="3" w:name="_Toc468885178"/>
      <w:bookmarkStart w:id="4" w:name="_Toc437334744"/>
      <w:bookmarkStart w:id="5" w:name="_Toc468885006"/>
      <w:bookmarkStart w:id="6" w:name="_Toc437334595"/>
    </w:p>
    <w:bookmarkEnd w:id="0"/>
    <w:bookmarkEnd w:id="1"/>
    <w:bookmarkEnd w:id="2"/>
    <w:bookmarkEnd w:id="3"/>
    <w:bookmarkEnd w:id="4"/>
    <w:bookmarkEnd w:id="5"/>
    <w:bookmarkEnd w:id="6"/>
    <w:p/>
    <w:p/>
    <w:p/>
    <w:p/>
    <w:p>
      <w:pPr>
        <w:jc w:val="center"/>
      </w:pPr>
      <w:r>
        <w:drawing>
          <wp:inline distT="0" distB="0" distL="114300" distR="114300">
            <wp:extent cx="2514600" cy="2514600"/>
            <wp:effectExtent l="0" t="0" r="0" b="0"/>
            <wp:docPr id="1" name="图片 1" descr="大连航运职业技术学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连航运职业技术学院logo"/>
                    <pic:cNvPicPr>
                      <a:picLocks noChangeAspect="1"/>
                    </pic:cNvPicPr>
                  </pic:nvPicPr>
                  <pic:blipFill>
                    <a:blip r:embed="rId6"/>
                    <a:stretch>
                      <a:fillRect/>
                    </a:stretch>
                  </pic:blipFill>
                  <pic:spPr>
                    <a:xfrm>
                      <a:off x="0" y="0"/>
                      <a:ext cx="2514600" cy="2514600"/>
                    </a:xfrm>
                    <a:prstGeom prst="rect">
                      <a:avLst/>
                    </a:prstGeom>
                    <a:noFill/>
                    <a:ln>
                      <a:noFill/>
                    </a:ln>
                  </pic:spPr>
                </pic:pic>
              </a:graphicData>
            </a:graphic>
          </wp:inline>
        </w:drawing>
      </w:r>
    </w:p>
    <w:p/>
    <w:p/>
    <w:p/>
    <w:p/>
    <w:p/>
    <w:p/>
    <w:p/>
    <w:p/>
    <w:p>
      <w:pPr>
        <w:jc w:val="center"/>
        <w:rPr>
          <w:b/>
          <w:sz w:val="32"/>
          <w:szCs w:val="32"/>
        </w:rPr>
      </w:pPr>
      <w:r>
        <w:rPr>
          <w:rFonts w:hint="eastAsia"/>
          <w:b/>
          <w:sz w:val="32"/>
          <w:szCs w:val="32"/>
        </w:rPr>
        <w:t>大连航运职业技术学院</w:t>
      </w:r>
    </w:p>
    <w:p>
      <w:pPr>
        <w:jc w:val="center"/>
        <w:rPr>
          <w:b/>
          <w:sz w:val="32"/>
          <w:szCs w:val="32"/>
        </w:rPr>
      </w:pPr>
      <w:r>
        <w:rPr>
          <w:rFonts w:hint="eastAsia"/>
          <w:b/>
          <w:sz w:val="32"/>
          <w:szCs w:val="32"/>
        </w:rPr>
        <w:t>二零二贰年十二月</w:t>
      </w:r>
    </w:p>
    <w:p>
      <w:pPr>
        <w:jc w:val="center"/>
        <w:rPr>
          <w:b/>
          <w:sz w:val="32"/>
          <w:szCs w:val="32"/>
        </w:rPr>
      </w:pPr>
    </w:p>
    <w:p>
      <w:pPr>
        <w:jc w:val="left"/>
        <w:rPr>
          <w:rFonts w:hint="eastAsia"/>
          <w:sz w:val="32"/>
          <w:szCs w:val="32"/>
          <w:lang w:val="zh-CN"/>
        </w:rPr>
        <w:sectPr>
          <w:pgSz w:w="11906" w:h="16838"/>
          <w:pgMar w:top="1440" w:right="1803" w:bottom="1440" w:left="1803" w:header="851" w:footer="992" w:gutter="0"/>
          <w:pgNumType w:fmt="decimal" w:start="1"/>
          <w:cols w:space="425" w:num="1"/>
          <w:docGrid w:type="lines" w:linePitch="312" w:charSpace="0"/>
        </w:sectPr>
      </w:pPr>
    </w:p>
    <w:p>
      <w:pPr>
        <w:pStyle w:val="15"/>
        <w:jc w:val="center"/>
        <w:rPr>
          <w:color w:val="auto"/>
          <w:sz w:val="36"/>
          <w:szCs w:val="36"/>
          <w:lang w:val="zh-CN"/>
        </w:rPr>
      </w:pPr>
      <w:r>
        <w:rPr>
          <w:color w:val="auto"/>
          <w:sz w:val="36"/>
          <w:szCs w:val="36"/>
          <w:lang w:val="zh-CN"/>
        </w:rPr>
        <w:drawing>
          <wp:inline distT="0" distB="0" distL="114300" distR="114300">
            <wp:extent cx="5265420" cy="7689215"/>
            <wp:effectExtent l="0" t="0" r="11430" b="6985"/>
            <wp:docPr id="7" name="图片 7" descr="843e73cea1f97d252d75ea91ac28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43e73cea1f97d252d75ea91ac2846b"/>
                    <pic:cNvPicPr>
                      <a:picLocks noChangeAspect="1"/>
                    </pic:cNvPicPr>
                  </pic:nvPicPr>
                  <pic:blipFill>
                    <a:blip r:embed="rId7"/>
                    <a:stretch>
                      <a:fillRect/>
                    </a:stretch>
                  </pic:blipFill>
                  <pic:spPr>
                    <a:xfrm>
                      <a:off x="0" y="0"/>
                      <a:ext cx="5265420" cy="7689215"/>
                    </a:xfrm>
                    <a:prstGeom prst="rect">
                      <a:avLst/>
                    </a:prstGeom>
                  </pic:spPr>
                </pic:pic>
              </a:graphicData>
            </a:graphic>
          </wp:inline>
        </w:drawing>
      </w:r>
    </w:p>
    <w:p>
      <w:pPr>
        <w:pStyle w:val="15"/>
        <w:jc w:val="center"/>
        <w:rPr>
          <w:color w:val="auto"/>
          <w:sz w:val="36"/>
          <w:szCs w:val="36"/>
          <w:lang w:val="zh-CN"/>
        </w:rPr>
      </w:pPr>
    </w:p>
    <w:p>
      <w:pPr>
        <w:pStyle w:val="15"/>
        <w:jc w:val="center"/>
        <w:rPr>
          <w:color w:val="auto"/>
          <w:sz w:val="36"/>
          <w:szCs w:val="36"/>
          <w:lang w:val="zh-CN"/>
        </w:rPr>
      </w:pPr>
      <w:r>
        <w:rPr>
          <w:color w:val="auto"/>
          <w:sz w:val="36"/>
          <w:szCs w:val="36"/>
          <w:lang w:val="zh-CN"/>
        </w:rPr>
        <w:t>目</w:t>
      </w:r>
      <w:r>
        <w:rPr>
          <w:rFonts w:hint="eastAsia"/>
          <w:color w:val="auto"/>
          <w:sz w:val="36"/>
          <w:szCs w:val="36"/>
          <w:lang w:val="en-US" w:eastAsia="zh-CN"/>
        </w:rPr>
        <w:t xml:space="preserve">  </w:t>
      </w:r>
      <w:r>
        <w:rPr>
          <w:color w:val="auto"/>
          <w:sz w:val="36"/>
          <w:szCs w:val="36"/>
          <w:lang w:val="zh-CN"/>
        </w:rPr>
        <w:t>录</w:t>
      </w:r>
    </w:p>
    <w:p/>
    <w:p>
      <w:pPr>
        <w:pStyle w:val="7"/>
        <w:tabs>
          <w:tab w:val="right" w:leader="hyphen" w:pos="8300"/>
          <w:tab w:val="clear" w:pos="8296"/>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_Toc5338 </w:instrText>
      </w:r>
      <w:r>
        <w:rPr>
          <w:szCs w:val="24"/>
        </w:rPr>
        <w:fldChar w:fldCharType="separate"/>
      </w:r>
      <w:r>
        <w:rPr>
          <w:rFonts w:hint="eastAsia"/>
        </w:rPr>
        <w:t>一、基本情况</w:t>
      </w:r>
      <w:r>
        <w:tab/>
      </w:r>
      <w:r>
        <w:fldChar w:fldCharType="begin"/>
      </w:r>
      <w:r>
        <w:instrText xml:space="preserve"> PAGEREF _Toc5338 \h </w:instrText>
      </w:r>
      <w:r>
        <w:fldChar w:fldCharType="separate"/>
      </w:r>
      <w:r>
        <w:t>1</w:t>
      </w:r>
      <w:r>
        <w:fldChar w:fldCharType="end"/>
      </w:r>
      <w:r>
        <w:rPr>
          <w:szCs w:val="24"/>
        </w:rPr>
        <w:fldChar w:fldCharType="end"/>
      </w:r>
    </w:p>
    <w:p>
      <w:pPr>
        <w:pStyle w:val="7"/>
        <w:tabs>
          <w:tab w:val="right" w:leader="hyphen" w:pos="8300"/>
          <w:tab w:val="clear" w:pos="8296"/>
        </w:tabs>
      </w:pPr>
      <w:r>
        <w:rPr>
          <w:bCs/>
          <w:lang w:val="zh-CN"/>
        </w:rPr>
        <w:fldChar w:fldCharType="begin"/>
      </w:r>
      <w:r>
        <w:rPr>
          <w:bCs/>
          <w:lang w:val="zh-CN"/>
        </w:rPr>
        <w:instrText xml:space="preserve"> HYPERLINK \l _Toc25716 </w:instrText>
      </w:r>
      <w:r>
        <w:rPr>
          <w:bCs/>
          <w:lang w:val="zh-CN"/>
        </w:rPr>
        <w:fldChar w:fldCharType="separate"/>
      </w:r>
      <w:r>
        <w:rPr>
          <w:rFonts w:hint="eastAsia"/>
        </w:rPr>
        <w:t>二、学生发展质量</w:t>
      </w:r>
      <w:r>
        <w:tab/>
      </w:r>
      <w:r>
        <w:fldChar w:fldCharType="begin"/>
      </w:r>
      <w:r>
        <w:instrText xml:space="preserve"> PAGEREF _Toc25716 \h </w:instrText>
      </w:r>
      <w:r>
        <w:fldChar w:fldCharType="separate"/>
      </w:r>
      <w:r>
        <w:t>2</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_Toc9484 </w:instrText>
      </w:r>
      <w:r>
        <w:rPr>
          <w:bCs/>
          <w:lang w:val="zh-CN"/>
        </w:rPr>
        <w:fldChar w:fldCharType="separate"/>
      </w:r>
      <w:r>
        <w:rPr>
          <w:rFonts w:hint="eastAsia"/>
        </w:rPr>
        <w:t>（一）党建引领</w:t>
      </w:r>
      <w:r>
        <w:tab/>
      </w:r>
      <w:r>
        <w:fldChar w:fldCharType="begin"/>
      </w:r>
      <w:r>
        <w:instrText xml:space="preserve"> PAGEREF _Toc9484 \h </w:instrText>
      </w:r>
      <w:r>
        <w:fldChar w:fldCharType="separate"/>
      </w:r>
      <w:r>
        <w:t>2</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_Toc19903 </w:instrText>
      </w:r>
      <w:r>
        <w:rPr>
          <w:bCs/>
          <w:lang w:val="zh-CN"/>
        </w:rPr>
        <w:fldChar w:fldCharType="separate"/>
      </w:r>
      <w:r>
        <w:rPr>
          <w:rFonts w:hint="eastAsia"/>
        </w:rPr>
        <w:t>（二）立德树人</w:t>
      </w:r>
      <w:r>
        <w:tab/>
      </w:r>
      <w:r>
        <w:fldChar w:fldCharType="begin"/>
      </w:r>
      <w:r>
        <w:instrText xml:space="preserve"> PAGEREF _Toc19903 \h </w:instrText>
      </w:r>
      <w:r>
        <w:fldChar w:fldCharType="separate"/>
      </w:r>
      <w:r>
        <w:t>2</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_Toc27168 </w:instrText>
      </w:r>
      <w:r>
        <w:rPr>
          <w:bCs/>
          <w:lang w:val="zh-CN"/>
        </w:rPr>
        <w:fldChar w:fldCharType="separate"/>
      </w:r>
      <w:r>
        <w:rPr>
          <w:rFonts w:hint="eastAsia"/>
        </w:rPr>
        <w:t>（三）在校体验</w:t>
      </w:r>
      <w:r>
        <w:tab/>
      </w:r>
      <w:r>
        <w:fldChar w:fldCharType="begin"/>
      </w:r>
      <w:r>
        <w:instrText xml:space="preserve"> PAGEREF _Toc27168 \h </w:instrText>
      </w:r>
      <w:r>
        <w:fldChar w:fldCharType="separate"/>
      </w:r>
      <w:r>
        <w:t>3</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_Toc4031 </w:instrText>
      </w:r>
      <w:r>
        <w:rPr>
          <w:bCs/>
          <w:lang w:val="zh-CN"/>
        </w:rPr>
        <w:fldChar w:fldCharType="separate"/>
      </w:r>
      <w:r>
        <w:rPr>
          <w:rFonts w:hint="eastAsia"/>
        </w:rPr>
        <w:t>（四）管理育人</w:t>
      </w:r>
      <w:r>
        <w:tab/>
      </w:r>
      <w:r>
        <w:fldChar w:fldCharType="begin"/>
      </w:r>
      <w:r>
        <w:instrText xml:space="preserve"> PAGEREF _Toc4031 \h </w:instrText>
      </w:r>
      <w:r>
        <w:fldChar w:fldCharType="separate"/>
      </w:r>
      <w:r>
        <w:t>4</w:t>
      </w:r>
      <w:r>
        <w:fldChar w:fldCharType="end"/>
      </w:r>
      <w:r>
        <w:rPr>
          <w:bCs/>
          <w:lang w:val="zh-CN"/>
        </w:rPr>
        <w:fldChar w:fldCharType="end"/>
      </w:r>
    </w:p>
    <w:p>
      <w:pPr>
        <w:pStyle w:val="7"/>
        <w:tabs>
          <w:tab w:val="right" w:leader="hyphen" w:pos="8300"/>
          <w:tab w:val="clear" w:pos="8296"/>
        </w:tabs>
      </w:pPr>
      <w:r>
        <w:rPr>
          <w:bCs/>
          <w:lang w:val="zh-CN"/>
        </w:rPr>
        <w:fldChar w:fldCharType="begin"/>
      </w:r>
      <w:r>
        <w:rPr>
          <w:bCs/>
          <w:lang w:val="zh-CN"/>
        </w:rPr>
        <w:instrText xml:space="preserve"> HYPERLINK \l _Toc13322 </w:instrText>
      </w:r>
      <w:r>
        <w:rPr>
          <w:bCs/>
          <w:lang w:val="zh-CN"/>
        </w:rPr>
        <w:fldChar w:fldCharType="separate"/>
      </w:r>
      <w:r>
        <w:rPr>
          <w:rFonts w:hint="eastAsia"/>
        </w:rPr>
        <w:t>三、教育教学质量</w:t>
      </w:r>
      <w:r>
        <w:tab/>
      </w:r>
      <w:r>
        <w:fldChar w:fldCharType="begin"/>
      </w:r>
      <w:r>
        <w:instrText xml:space="preserve"> PAGEREF _Toc13322 \h </w:instrText>
      </w:r>
      <w:r>
        <w:fldChar w:fldCharType="separate"/>
      </w:r>
      <w:r>
        <w:t>6</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_Toc14176 </w:instrText>
      </w:r>
      <w:r>
        <w:rPr>
          <w:bCs/>
          <w:lang w:val="zh-CN"/>
        </w:rPr>
        <w:fldChar w:fldCharType="separate"/>
      </w:r>
      <w:r>
        <w:rPr>
          <w:rFonts w:hint="eastAsia"/>
        </w:rPr>
        <w:t>（一）专业建设质量</w:t>
      </w:r>
      <w:r>
        <w:tab/>
      </w:r>
      <w:r>
        <w:fldChar w:fldCharType="begin"/>
      </w:r>
      <w:r>
        <w:instrText xml:space="preserve"> PAGEREF _Toc14176 \h </w:instrText>
      </w:r>
      <w:r>
        <w:fldChar w:fldCharType="separate"/>
      </w:r>
      <w:r>
        <w:t>6</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_Toc3497 </w:instrText>
      </w:r>
      <w:r>
        <w:rPr>
          <w:bCs/>
          <w:lang w:val="zh-CN"/>
        </w:rPr>
        <w:fldChar w:fldCharType="separate"/>
      </w:r>
      <w:r>
        <w:rPr>
          <w:rFonts w:hint="eastAsia"/>
        </w:rPr>
        <w:t>（二）课程建设质量</w:t>
      </w:r>
      <w:r>
        <w:tab/>
      </w:r>
      <w:r>
        <w:fldChar w:fldCharType="begin"/>
      </w:r>
      <w:r>
        <w:instrText xml:space="preserve"> PAGEREF _Toc3497 \h </w:instrText>
      </w:r>
      <w:r>
        <w:fldChar w:fldCharType="separate"/>
      </w:r>
      <w:r>
        <w:t>6</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_Toc5922 </w:instrText>
      </w:r>
      <w:r>
        <w:rPr>
          <w:bCs/>
          <w:lang w:val="zh-CN"/>
        </w:rPr>
        <w:fldChar w:fldCharType="separate"/>
      </w:r>
      <w:r>
        <w:rPr>
          <w:rFonts w:hint="eastAsia"/>
        </w:rPr>
        <w:t>（三）教学方法改革</w:t>
      </w:r>
      <w:r>
        <w:tab/>
      </w:r>
      <w:r>
        <w:fldChar w:fldCharType="begin"/>
      </w:r>
      <w:r>
        <w:instrText xml:space="preserve"> PAGEREF _Toc5922 \h </w:instrText>
      </w:r>
      <w:r>
        <w:fldChar w:fldCharType="separate"/>
      </w:r>
      <w:r>
        <w:t>7</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_Toc3629 </w:instrText>
      </w:r>
      <w:r>
        <w:rPr>
          <w:bCs/>
          <w:lang w:val="zh-CN"/>
        </w:rPr>
        <w:fldChar w:fldCharType="separate"/>
      </w:r>
      <w:r>
        <w:rPr>
          <w:rFonts w:hint="eastAsia"/>
        </w:rPr>
        <w:t>（四）教材建设质量</w:t>
      </w:r>
      <w:r>
        <w:tab/>
      </w:r>
      <w:r>
        <w:fldChar w:fldCharType="begin"/>
      </w:r>
      <w:r>
        <w:instrText xml:space="preserve"> PAGEREF _Toc3629 \h </w:instrText>
      </w:r>
      <w:r>
        <w:fldChar w:fldCharType="separate"/>
      </w:r>
      <w:r>
        <w:t>7</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_Toc1368 </w:instrText>
      </w:r>
      <w:r>
        <w:rPr>
          <w:bCs/>
          <w:lang w:val="zh-CN"/>
        </w:rPr>
        <w:fldChar w:fldCharType="separate"/>
      </w:r>
      <w:r>
        <w:rPr>
          <w:rFonts w:hint="eastAsia"/>
        </w:rPr>
        <w:t>（五）数字化教学资源建设</w:t>
      </w:r>
      <w:r>
        <w:tab/>
      </w:r>
      <w:r>
        <w:fldChar w:fldCharType="begin"/>
      </w:r>
      <w:r>
        <w:instrText xml:space="preserve"> PAGEREF _Toc1368 \h </w:instrText>
      </w:r>
      <w:r>
        <w:fldChar w:fldCharType="separate"/>
      </w:r>
      <w:r>
        <w:t>7</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_Toc1758 </w:instrText>
      </w:r>
      <w:r>
        <w:rPr>
          <w:bCs/>
          <w:lang w:val="zh-CN"/>
        </w:rPr>
        <w:fldChar w:fldCharType="separate"/>
      </w:r>
      <w:r>
        <w:rPr>
          <w:rFonts w:hint="eastAsia"/>
        </w:rPr>
        <w:t>（六）师资队伍建设</w:t>
      </w:r>
      <w:r>
        <w:tab/>
      </w:r>
      <w:r>
        <w:fldChar w:fldCharType="begin"/>
      </w:r>
      <w:r>
        <w:instrText xml:space="preserve"> PAGEREF _Toc1758 \h </w:instrText>
      </w:r>
      <w:r>
        <w:fldChar w:fldCharType="separate"/>
      </w:r>
      <w:r>
        <w:t>8</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_Toc6509 </w:instrText>
      </w:r>
      <w:r>
        <w:rPr>
          <w:bCs/>
          <w:lang w:val="zh-CN"/>
        </w:rPr>
        <w:fldChar w:fldCharType="separate"/>
      </w:r>
      <w:r>
        <w:rPr>
          <w:rFonts w:hint="eastAsia"/>
        </w:rPr>
        <w:t>（七）校企双元育人</w:t>
      </w:r>
      <w:r>
        <w:tab/>
      </w:r>
      <w:r>
        <w:fldChar w:fldCharType="begin"/>
      </w:r>
      <w:r>
        <w:instrText xml:space="preserve"> PAGEREF _Toc6509 \h </w:instrText>
      </w:r>
      <w:r>
        <w:fldChar w:fldCharType="separate"/>
      </w:r>
      <w:r>
        <w:t>9</w:t>
      </w:r>
      <w:r>
        <w:fldChar w:fldCharType="end"/>
      </w:r>
      <w:r>
        <w:rPr>
          <w:bCs/>
          <w:lang w:val="zh-CN"/>
        </w:rPr>
        <w:fldChar w:fldCharType="end"/>
      </w:r>
    </w:p>
    <w:p>
      <w:pPr>
        <w:pStyle w:val="7"/>
        <w:tabs>
          <w:tab w:val="right" w:leader="hyphen" w:pos="8300"/>
          <w:tab w:val="clear" w:pos="8296"/>
        </w:tabs>
      </w:pPr>
      <w:r>
        <w:rPr>
          <w:bCs/>
          <w:lang w:val="zh-CN"/>
        </w:rPr>
        <w:fldChar w:fldCharType="begin"/>
      </w:r>
      <w:r>
        <w:rPr>
          <w:bCs/>
          <w:lang w:val="zh-CN"/>
        </w:rPr>
        <w:instrText xml:space="preserve"> HYPERLINK \l _Toc30671 </w:instrText>
      </w:r>
      <w:r>
        <w:rPr>
          <w:bCs/>
          <w:lang w:val="zh-CN"/>
        </w:rPr>
        <w:fldChar w:fldCharType="separate"/>
      </w:r>
      <w:r>
        <w:rPr>
          <w:rFonts w:hint="eastAsia"/>
        </w:rPr>
        <w:t>四、服务贡献质量</w:t>
      </w:r>
      <w:r>
        <w:tab/>
      </w:r>
      <w:r>
        <w:fldChar w:fldCharType="begin"/>
      </w:r>
      <w:r>
        <w:instrText xml:space="preserve"> PAGEREF _Toc30671 \h </w:instrText>
      </w:r>
      <w:r>
        <w:fldChar w:fldCharType="separate"/>
      </w:r>
      <w:r>
        <w:t>11</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_Toc18473 </w:instrText>
      </w:r>
      <w:r>
        <w:rPr>
          <w:bCs/>
          <w:lang w:val="zh-CN"/>
        </w:rPr>
        <w:fldChar w:fldCharType="separate"/>
      </w:r>
      <w:r>
        <w:rPr>
          <w:rFonts w:hint="eastAsia"/>
        </w:rPr>
        <w:t>（一）人才培养质量</w:t>
      </w:r>
      <w:r>
        <w:tab/>
      </w:r>
      <w:r>
        <w:fldChar w:fldCharType="begin"/>
      </w:r>
      <w:r>
        <w:instrText xml:space="preserve"> PAGEREF _Toc18473 \h </w:instrText>
      </w:r>
      <w:r>
        <w:fldChar w:fldCharType="separate"/>
      </w:r>
      <w:r>
        <w:t>11</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_Toc19338 </w:instrText>
      </w:r>
      <w:r>
        <w:rPr>
          <w:bCs/>
          <w:lang w:val="zh-CN"/>
        </w:rPr>
        <w:fldChar w:fldCharType="separate"/>
      </w:r>
      <w:r>
        <w:rPr>
          <w:rFonts w:hint="eastAsia"/>
        </w:rPr>
        <w:t>（二）就业工作</w:t>
      </w:r>
      <w:r>
        <w:tab/>
      </w:r>
      <w:r>
        <w:fldChar w:fldCharType="begin"/>
      </w:r>
      <w:r>
        <w:instrText xml:space="preserve"> PAGEREF _Toc19338 \h </w:instrText>
      </w:r>
      <w:r>
        <w:fldChar w:fldCharType="separate"/>
      </w:r>
      <w:r>
        <w:t>11</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_Toc32591 </w:instrText>
      </w:r>
      <w:r>
        <w:rPr>
          <w:bCs/>
          <w:lang w:val="zh-CN"/>
        </w:rPr>
        <w:fldChar w:fldCharType="separate"/>
      </w:r>
      <w:r>
        <w:rPr>
          <w:rFonts w:hint="eastAsia"/>
        </w:rPr>
        <w:t>（三）具有本校特色的服务</w:t>
      </w:r>
      <w:r>
        <w:tab/>
      </w:r>
      <w:r>
        <w:fldChar w:fldCharType="begin"/>
      </w:r>
      <w:r>
        <w:instrText xml:space="preserve"> PAGEREF _Toc32591 \h </w:instrText>
      </w:r>
      <w:r>
        <w:fldChar w:fldCharType="separate"/>
      </w:r>
      <w:r>
        <w:t>12</w:t>
      </w:r>
      <w:r>
        <w:fldChar w:fldCharType="end"/>
      </w:r>
      <w:r>
        <w:rPr>
          <w:bCs/>
          <w:lang w:val="zh-CN"/>
        </w:rPr>
        <w:fldChar w:fldCharType="end"/>
      </w:r>
    </w:p>
    <w:p>
      <w:pPr>
        <w:pStyle w:val="7"/>
        <w:tabs>
          <w:tab w:val="right" w:leader="hyphen" w:pos="8300"/>
          <w:tab w:val="clear" w:pos="8296"/>
        </w:tabs>
      </w:pPr>
      <w:r>
        <w:rPr>
          <w:bCs/>
          <w:lang w:val="zh-CN"/>
        </w:rPr>
        <w:fldChar w:fldCharType="begin"/>
      </w:r>
      <w:r>
        <w:rPr>
          <w:bCs/>
          <w:lang w:val="zh-CN"/>
        </w:rPr>
        <w:instrText xml:space="preserve"> HYPERLINK \l _Toc6325 </w:instrText>
      </w:r>
      <w:r>
        <w:rPr>
          <w:bCs/>
          <w:lang w:val="zh-CN"/>
        </w:rPr>
        <w:fldChar w:fldCharType="separate"/>
      </w:r>
      <w:r>
        <w:rPr>
          <w:rFonts w:hint="eastAsia"/>
        </w:rPr>
        <w:t>五、政策落实质量</w:t>
      </w:r>
      <w:r>
        <w:tab/>
      </w:r>
      <w:r>
        <w:fldChar w:fldCharType="begin"/>
      </w:r>
      <w:r>
        <w:instrText xml:space="preserve"> PAGEREF _Toc6325 \h </w:instrText>
      </w:r>
      <w:r>
        <w:fldChar w:fldCharType="separate"/>
      </w:r>
      <w:r>
        <w:t>13</w:t>
      </w:r>
      <w:r>
        <w:fldChar w:fldCharType="end"/>
      </w:r>
      <w:r>
        <w:rPr>
          <w:bCs/>
          <w:lang w:val="zh-CN"/>
        </w:rPr>
        <w:fldChar w:fldCharType="end"/>
      </w:r>
    </w:p>
    <w:p>
      <w:pPr>
        <w:pStyle w:val="7"/>
        <w:tabs>
          <w:tab w:val="right" w:leader="hyphen" w:pos="8300"/>
          <w:tab w:val="clear" w:pos="8296"/>
        </w:tabs>
      </w:pPr>
      <w:r>
        <w:rPr>
          <w:bCs/>
          <w:lang w:val="zh-CN"/>
        </w:rPr>
        <w:fldChar w:fldCharType="begin"/>
      </w:r>
      <w:r>
        <w:rPr>
          <w:bCs/>
          <w:lang w:val="zh-CN"/>
        </w:rPr>
        <w:instrText xml:space="preserve"> HYPERLINK \l _Toc8978 </w:instrText>
      </w:r>
      <w:r>
        <w:rPr>
          <w:bCs/>
          <w:lang w:val="zh-CN"/>
        </w:rPr>
        <w:fldChar w:fldCharType="separate"/>
      </w:r>
      <w:r>
        <w:rPr>
          <w:rFonts w:hint="eastAsia"/>
        </w:rPr>
        <w:t>六、面临挑战</w:t>
      </w:r>
      <w:r>
        <w:tab/>
      </w:r>
      <w:r>
        <w:fldChar w:fldCharType="begin"/>
      </w:r>
      <w:r>
        <w:instrText xml:space="preserve"> PAGEREF _Toc8978 \h </w:instrText>
      </w:r>
      <w:r>
        <w:fldChar w:fldCharType="separate"/>
      </w:r>
      <w:r>
        <w:t>16</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_Toc25150 </w:instrText>
      </w:r>
      <w:r>
        <w:rPr>
          <w:bCs/>
          <w:lang w:val="zh-CN"/>
        </w:rPr>
        <w:fldChar w:fldCharType="separate"/>
      </w:r>
      <w:r>
        <w:rPr>
          <w:rFonts w:hint="eastAsia"/>
        </w:rPr>
        <w:t>（一）存在问题</w:t>
      </w:r>
      <w:r>
        <w:tab/>
      </w:r>
      <w:r>
        <w:fldChar w:fldCharType="begin"/>
      </w:r>
      <w:r>
        <w:instrText xml:space="preserve"> PAGEREF _Toc25150 \h </w:instrText>
      </w:r>
      <w:r>
        <w:fldChar w:fldCharType="separate"/>
      </w:r>
      <w:r>
        <w:t>16</w:t>
      </w:r>
      <w:r>
        <w:fldChar w:fldCharType="end"/>
      </w:r>
      <w:r>
        <w:rPr>
          <w:bCs/>
          <w:lang w:val="zh-CN"/>
        </w:rPr>
        <w:fldChar w:fldCharType="end"/>
      </w:r>
    </w:p>
    <w:p>
      <w:pPr>
        <w:pStyle w:val="8"/>
        <w:tabs>
          <w:tab w:val="right" w:leader="hyphen" w:pos="8300"/>
        </w:tabs>
      </w:pPr>
      <w:r>
        <w:rPr>
          <w:bCs/>
          <w:lang w:val="zh-CN"/>
        </w:rPr>
        <w:fldChar w:fldCharType="begin"/>
      </w:r>
      <w:r>
        <w:rPr>
          <w:bCs/>
          <w:lang w:val="zh-CN"/>
        </w:rPr>
        <w:instrText xml:space="preserve"> HYPERLINK \l _Toc9254 </w:instrText>
      </w:r>
      <w:r>
        <w:rPr>
          <w:bCs/>
          <w:lang w:val="zh-CN"/>
        </w:rPr>
        <w:fldChar w:fldCharType="separate"/>
      </w:r>
      <w:r>
        <w:rPr>
          <w:rFonts w:hint="eastAsia"/>
        </w:rPr>
        <w:t>（二）应对措施</w:t>
      </w:r>
      <w:r>
        <w:tab/>
      </w:r>
      <w:r>
        <w:fldChar w:fldCharType="begin"/>
      </w:r>
      <w:r>
        <w:instrText xml:space="preserve"> PAGEREF _Toc9254 \h </w:instrText>
      </w:r>
      <w:r>
        <w:fldChar w:fldCharType="separate"/>
      </w:r>
      <w:r>
        <w:t>17</w:t>
      </w:r>
      <w:r>
        <w:fldChar w:fldCharType="end"/>
      </w:r>
      <w:r>
        <w:rPr>
          <w:bCs/>
          <w:lang w:val="zh-CN"/>
        </w:rPr>
        <w:fldChar w:fldCharType="end"/>
      </w:r>
    </w:p>
    <w:p>
      <w:pPr>
        <w:pStyle w:val="7"/>
        <w:tabs>
          <w:tab w:val="right" w:leader="hyphen" w:pos="8300"/>
          <w:tab w:val="clear" w:pos="8296"/>
        </w:tabs>
      </w:pPr>
      <w:r>
        <w:rPr>
          <w:bCs/>
          <w:lang w:val="zh-CN"/>
        </w:rPr>
        <w:fldChar w:fldCharType="begin"/>
      </w:r>
      <w:r>
        <w:rPr>
          <w:bCs/>
          <w:lang w:val="zh-CN"/>
        </w:rPr>
        <w:instrText xml:space="preserve"> HYPERLINK \l _Toc20884 </w:instrText>
      </w:r>
      <w:r>
        <w:rPr>
          <w:bCs/>
          <w:lang w:val="zh-CN"/>
        </w:rPr>
        <w:fldChar w:fldCharType="separate"/>
      </w:r>
      <w:r>
        <w:rPr>
          <w:rFonts w:hint="eastAsia" w:ascii="宋体" w:hAnsi="宋体" w:cs="宋体"/>
          <w:bCs/>
          <w:szCs w:val="36"/>
          <w:lang w:val="zh-CN"/>
        </w:rPr>
        <w:t>附件</w:t>
      </w:r>
      <w:r>
        <w:tab/>
      </w:r>
      <w:r>
        <w:fldChar w:fldCharType="begin"/>
      </w:r>
      <w:r>
        <w:instrText xml:space="preserve"> PAGEREF _Toc20884 \h </w:instrText>
      </w:r>
      <w:r>
        <w:fldChar w:fldCharType="separate"/>
      </w:r>
      <w:r>
        <w:t>18</w:t>
      </w:r>
      <w:r>
        <w:fldChar w:fldCharType="end"/>
      </w:r>
      <w:r>
        <w:rPr>
          <w:bCs/>
          <w:lang w:val="zh-CN"/>
        </w:rPr>
        <w:fldChar w:fldCharType="end"/>
      </w:r>
    </w:p>
    <w:p>
      <w:pPr>
        <w:rPr>
          <w:b/>
          <w:bCs/>
          <w:lang w:val="zh-CN"/>
        </w:rPr>
        <w:sectPr>
          <w:footerReference r:id="rId3" w:type="default"/>
          <w:pgSz w:w="11906" w:h="16838"/>
          <w:pgMar w:top="1440" w:right="1803" w:bottom="1440" w:left="1803" w:header="851" w:footer="992" w:gutter="0"/>
          <w:pgNumType w:fmt="decimal" w:start="1"/>
          <w:cols w:space="425" w:num="1"/>
          <w:docGrid w:type="lines" w:linePitch="312" w:charSpace="0"/>
        </w:sectPr>
      </w:pPr>
      <w:r>
        <w:rPr>
          <w:bCs/>
          <w:lang w:val="zh-CN"/>
        </w:rPr>
        <w:fldChar w:fldCharType="end"/>
      </w:r>
    </w:p>
    <w:p>
      <w:pPr>
        <w:pStyle w:val="2"/>
        <w:bidi w:val="0"/>
        <w:jc w:val="center"/>
      </w:pPr>
      <w:bookmarkStart w:id="7" w:name="_Toc5338"/>
      <w:bookmarkStart w:id="8" w:name="_Toc59108011"/>
      <w:bookmarkStart w:id="9" w:name="_Toc59107817"/>
      <w:bookmarkStart w:id="10" w:name="_Toc28417985"/>
      <w:r>
        <w:rPr>
          <w:rFonts w:hint="eastAsia"/>
        </w:rPr>
        <w:t>一、基本情况</w:t>
      </w:r>
      <w:bookmarkEnd w:id="7"/>
      <w:bookmarkEnd w:id="8"/>
      <w:bookmarkEnd w:id="9"/>
      <w:bookmarkEnd w:id="10"/>
    </w:p>
    <w:p>
      <w:pPr>
        <w:spacing w:line="360" w:lineRule="auto"/>
        <w:ind w:firstLine="560" w:firstLineChars="200"/>
        <w:rPr>
          <w:rFonts w:ascii="宋体" w:hAnsi="宋体" w:cs="宋体"/>
          <w:sz w:val="28"/>
          <w:szCs w:val="28"/>
        </w:rPr>
      </w:pPr>
      <w:r>
        <w:rPr>
          <w:rFonts w:hint="eastAsia" w:ascii="宋体" w:hAnsi="宋体" w:cs="宋体"/>
          <w:sz w:val="28"/>
          <w:szCs w:val="28"/>
        </w:rPr>
        <w:t>大连航运职业技术学院于2008年经辽宁省人民政府批准成立，是教育部备案，以培养水上交通运输类应用型人才为主的高等职业院校。学校经中华人民共和国海事局核准，具有海船船员无限航区三副、三管轮及沿海航区船长、轮机长等二十余项培训资质。</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学校位于宜居、开放、充满活力的“浪漫之都”大连，是融山海于一体的现代化、园林式校园，教学设施与设备现代化程度位居中国同类院校前列。学校实行半军事化管理，形成了具有航海特色的校园文化，是莘莘学子理想的求学胜地，目前在校生5000余人。 </w:t>
      </w:r>
    </w:p>
    <w:p>
      <w:pPr>
        <w:spacing w:line="360" w:lineRule="auto"/>
        <w:ind w:firstLine="560" w:firstLineChars="200"/>
        <w:rPr>
          <w:rFonts w:ascii="宋体" w:hAnsi="宋体" w:cs="宋体"/>
          <w:sz w:val="28"/>
          <w:szCs w:val="28"/>
        </w:rPr>
      </w:pPr>
      <w:r>
        <w:rPr>
          <w:rFonts w:hint="eastAsia" w:ascii="宋体" w:hAnsi="宋体" w:cs="宋体"/>
          <w:sz w:val="28"/>
          <w:szCs w:val="28"/>
        </w:rPr>
        <w:t>学校根据航运业发展趋势及就业需求，按专业大类和专业群建设要求，构建二级教学单位航海学院、船舶工程与人工智能学院、管理与教育学院、公共教学部、思政教研部以及继续教育学院等。</w:t>
      </w:r>
    </w:p>
    <w:p>
      <w:pPr>
        <w:spacing w:line="360" w:lineRule="auto"/>
        <w:ind w:firstLine="560" w:firstLineChars="200"/>
        <w:rPr>
          <w:rFonts w:ascii="宋体" w:hAnsi="宋体" w:cs="宋体"/>
          <w:sz w:val="28"/>
          <w:szCs w:val="28"/>
        </w:rPr>
      </w:pPr>
      <w:r>
        <w:rPr>
          <w:rFonts w:hint="eastAsia" w:ascii="宋体" w:hAnsi="宋体" w:cs="宋体"/>
          <w:sz w:val="28"/>
          <w:szCs w:val="28"/>
        </w:rPr>
        <w:t>航海学院设置航海技术、轮机工程技术、船舶电子电气技术、船舶检验、国际邮轮乘务管理等专业；船舶工程与人工智能学院设置船舶工程技术、船舶动力工程技术、船舶电气工程技术、智能控制技术、机电一体化技术、电气自动化技术、产品艺术设计、大数据技术、城市轨道车辆应用技术、汽车检测与维修技术等专业；管理与教育学院设置港口与航运管理、关务与外贸服务、现代物流管理、国际商务、旅游管理、高速铁路客运服务、网络营销与直播电商、商务英语、婴幼儿托育服务与管理、电子竞技运动与管理等专业，专业设置紧密围绕学校办学所长，特色鲜明，就业前景广阔。</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学校秉持为国家教育事业积极奉献的深切情怀，价值主张</w:t>
      </w:r>
      <w:r>
        <w:rPr>
          <w:rFonts w:hint="eastAsia" w:ascii="宋体" w:hAnsi="宋体" w:cs="宋体"/>
          <w:sz w:val="28"/>
          <w:szCs w:val="28"/>
          <w:lang w:eastAsia="zh-CN"/>
        </w:rPr>
        <w:t>“</w:t>
      </w:r>
      <w:r>
        <w:rPr>
          <w:rFonts w:hint="eastAsia" w:ascii="宋体" w:hAnsi="宋体" w:cs="宋体"/>
          <w:sz w:val="28"/>
          <w:szCs w:val="28"/>
        </w:rPr>
        <w:t>仁善爱国、公正和谐、技能科学、竞优发展</w:t>
      </w:r>
      <w:r>
        <w:rPr>
          <w:rFonts w:hint="eastAsia" w:ascii="宋体" w:hAnsi="宋体" w:cs="宋体"/>
          <w:sz w:val="28"/>
          <w:szCs w:val="28"/>
          <w:lang w:eastAsia="zh-CN"/>
        </w:rPr>
        <w:t>”</w:t>
      </w:r>
      <w:r>
        <w:rPr>
          <w:rFonts w:hint="eastAsia" w:ascii="宋体" w:hAnsi="宋体" w:cs="宋体"/>
          <w:sz w:val="28"/>
          <w:szCs w:val="28"/>
        </w:rPr>
        <w:t>，以一切为发展国家的职业教育服务为工作宗旨，把建设高水平航运职业技术学校作为战略目标。</w:t>
      </w:r>
    </w:p>
    <w:p>
      <w:pPr>
        <w:spacing w:line="360" w:lineRule="auto"/>
        <w:ind w:firstLine="560" w:firstLineChars="200"/>
        <w:rPr>
          <w:rFonts w:hint="eastAsia" w:ascii="宋体" w:hAnsi="宋体" w:cs="宋体"/>
          <w:sz w:val="28"/>
          <w:szCs w:val="28"/>
        </w:rPr>
      </w:pPr>
    </w:p>
    <w:p>
      <w:pPr>
        <w:pStyle w:val="2"/>
        <w:bidi w:val="0"/>
        <w:jc w:val="center"/>
      </w:pPr>
      <w:bookmarkStart w:id="11" w:name="_Toc25716"/>
      <w:r>
        <w:rPr>
          <w:rFonts w:hint="eastAsia"/>
        </w:rPr>
        <w:t>二、学生发展质量</w:t>
      </w:r>
      <w:bookmarkEnd w:id="11"/>
    </w:p>
    <w:p>
      <w:pPr>
        <w:pStyle w:val="3"/>
        <w:bidi w:val="0"/>
        <w:jc w:val="center"/>
      </w:pPr>
      <w:bookmarkStart w:id="12" w:name="_Toc9484"/>
      <w:r>
        <w:rPr>
          <w:rFonts w:hint="eastAsia"/>
        </w:rPr>
        <w:t>（一）党建引领</w:t>
      </w:r>
      <w:bookmarkEnd w:id="12"/>
    </w:p>
    <w:p>
      <w:pPr>
        <w:spacing w:line="360" w:lineRule="auto"/>
        <w:ind w:firstLine="560" w:firstLineChars="200"/>
        <w:rPr>
          <w:rFonts w:ascii="宋体" w:hAnsi="宋体" w:cs="宋体"/>
          <w:sz w:val="28"/>
          <w:szCs w:val="28"/>
        </w:rPr>
      </w:pPr>
      <w:r>
        <w:rPr>
          <w:rFonts w:hint="eastAsia" w:ascii="宋体" w:hAnsi="宋体" w:cs="宋体"/>
          <w:sz w:val="28"/>
          <w:szCs w:val="28"/>
        </w:rPr>
        <w:t>高校是培养社会主义建设者和接班人的重要阵地</w:t>
      </w:r>
      <w:r>
        <w:rPr>
          <w:rFonts w:hint="eastAsia" w:ascii="宋体" w:hAnsi="宋体" w:cs="宋体"/>
          <w:sz w:val="28"/>
          <w:szCs w:val="28"/>
          <w:lang w:eastAsia="zh-CN"/>
        </w:rPr>
        <w:t>。</w:t>
      </w:r>
      <w:r>
        <w:rPr>
          <w:rFonts w:hint="eastAsia" w:ascii="宋体" w:hAnsi="宋体" w:cs="宋体"/>
          <w:sz w:val="28"/>
          <w:szCs w:val="28"/>
        </w:rPr>
        <w:t>学校持续强化党建引领，出台党建引领、学生工作指导意见，围绕立德树人根本任务，加强学生成长平台、管理队伍体系和组织保障体系建设，践行“围绕学生、关爱学生、服务学生”理念，构建“三全育人”新格局。通过“书记校长同上一堂思政课”、党校、团校等线上线下思政教育平台，教育引导大学生夯实道德基础，赓续红色基因，感受党的关怀，明晰成长方向，坚定不移听党话、跟党走。“青马工程”培养培训大学生骨干120余名，团校培训450余人次。学校聚焦党的政治引领、思想引导和活动管理，不断深化学生管理服务体制、协同育人体系、支撑保障机制改革，制定学生工作方案、一站式管理办法等，推动学</w:t>
      </w:r>
      <w:bookmarkStart w:id="13" w:name="_Toc59107821"/>
      <w:bookmarkStart w:id="14" w:name="_Toc59108015"/>
      <w:r>
        <w:rPr>
          <w:rFonts w:hint="eastAsia" w:ascii="宋体" w:hAnsi="宋体" w:cs="宋体"/>
          <w:sz w:val="28"/>
          <w:szCs w:val="28"/>
        </w:rPr>
        <w:t>校、职能部门管理力量、服务资源下沉到学生</w:t>
      </w:r>
      <w:r>
        <w:rPr>
          <w:rFonts w:hint="eastAsia" w:ascii="宋体" w:hAnsi="宋体" w:cs="宋体"/>
          <w:sz w:val="28"/>
          <w:szCs w:val="28"/>
          <w:lang w:eastAsia="zh-CN"/>
        </w:rPr>
        <w:t>中</w:t>
      </w:r>
      <w:r>
        <w:rPr>
          <w:rFonts w:hint="eastAsia" w:ascii="宋体" w:hAnsi="宋体" w:cs="宋体"/>
          <w:sz w:val="28"/>
          <w:szCs w:val="28"/>
        </w:rPr>
        <w:t>，党委统一领导、学院党建与</w:t>
      </w:r>
      <w:r>
        <w:rPr>
          <w:rFonts w:hint="eastAsia" w:ascii="宋体" w:hAnsi="宋体" w:cs="宋体"/>
          <w:sz w:val="28"/>
          <w:szCs w:val="28"/>
          <w:lang w:eastAsia="zh-CN"/>
        </w:rPr>
        <w:t>支部</w:t>
      </w:r>
      <w:r>
        <w:rPr>
          <w:rFonts w:hint="eastAsia" w:ascii="宋体" w:hAnsi="宋体" w:cs="宋体"/>
          <w:sz w:val="28"/>
          <w:szCs w:val="28"/>
        </w:rPr>
        <w:t>党建协同发展、学生工作“一站式”服务，赋予育人新功能、服务新内涵。</w:t>
      </w:r>
    </w:p>
    <w:p>
      <w:pPr>
        <w:pStyle w:val="3"/>
        <w:bidi w:val="0"/>
        <w:jc w:val="center"/>
        <w:rPr>
          <w:rFonts w:hint="eastAsia"/>
        </w:rPr>
      </w:pPr>
      <w:bookmarkStart w:id="15" w:name="_Toc19903"/>
      <w:r>
        <w:rPr>
          <w:rFonts w:hint="eastAsia"/>
        </w:rPr>
        <w:t>（二）立德树人</w:t>
      </w:r>
      <w:bookmarkEnd w:id="15"/>
    </w:p>
    <w:p>
      <w:pPr>
        <w:spacing w:line="360" w:lineRule="auto"/>
        <w:ind w:firstLine="560" w:firstLineChars="200"/>
        <w:rPr>
          <w:rFonts w:ascii="宋体" w:hAnsi="宋体" w:cs="宋体"/>
          <w:sz w:val="28"/>
          <w:szCs w:val="28"/>
        </w:rPr>
      </w:pPr>
      <w:r>
        <w:rPr>
          <w:rFonts w:hint="eastAsia" w:ascii="宋体" w:hAnsi="宋体" w:cs="宋体"/>
          <w:sz w:val="28"/>
          <w:szCs w:val="28"/>
        </w:rPr>
        <w:t>在学校党委的正确领导下，以习近平新时代中国特色社会主义思想为引领，全面贯彻党的教育方针，紧紧围绕立德树人根本任务，坚持管理育人、服务育人，锐意改革、积极进取，各方面工作取得了显著成绩。坚持管理和服务育人，以问题为导向，着力强弱项补短板，建立健全制度，倾听学生诉求，加强调查研究和工作协同，统筹推进学生思想教育体系、奖助体系、心理健康教育体系等学生管理服务建设，促进学生身心健康、全面发展。根据国家有关政策要求，结合学生教育管理工作的发展变化，学校制定、修订完善了20余个学生工作制度，内容涉及学生行为管理、学业指导、违纪处分、评奖评优、助学帮困、心理健康、住宿管理以及学工队伍建设等方面，构建起了德智体美劳全面评价学生的科学体系，积极推进学生工作协同高效，培养学生成长成才。</w:t>
      </w:r>
    </w:p>
    <w:p>
      <w:pPr>
        <w:pStyle w:val="3"/>
        <w:bidi w:val="0"/>
        <w:jc w:val="center"/>
        <w:rPr>
          <w:rFonts w:hint="eastAsia"/>
        </w:rPr>
      </w:pPr>
      <w:bookmarkStart w:id="16" w:name="_Toc27168"/>
      <w:r>
        <w:rPr>
          <w:rFonts w:hint="eastAsia"/>
        </w:rPr>
        <w:t>（三）在校体验</w:t>
      </w:r>
      <w:bookmarkEnd w:id="16"/>
    </w:p>
    <w:p>
      <w:pPr>
        <w:spacing w:line="360" w:lineRule="auto"/>
        <w:ind w:firstLine="560" w:firstLineChars="200"/>
        <w:rPr>
          <w:rFonts w:ascii="宋体" w:hAnsi="宋体" w:cs="宋体"/>
          <w:sz w:val="28"/>
          <w:szCs w:val="28"/>
        </w:rPr>
      </w:pPr>
      <w:r>
        <w:rPr>
          <w:rFonts w:hint="eastAsia" w:ascii="宋体" w:hAnsi="宋体" w:cs="宋体"/>
          <w:sz w:val="28"/>
          <w:szCs w:val="28"/>
        </w:rPr>
        <w:t>学校功能分区、建筑布局合理。校园自然环境幽雅美观，创设了多处具有教育意义的人文景观和文化氛围。组织开展内容丰富、形式新颖、吸引力强的思想道德、第二课堂、文娱、体育等校园文化活动，学校成立了校园安全工作领导小组，构建安全管理网络，形成了一级抓一级，一级对一级负责的工作格局。学校各部门通过问卷、访谈、座谈会等形式对在校学生进行调查：超过</w:t>
      </w:r>
      <w:r>
        <w:rPr>
          <w:rFonts w:hint="eastAsia" w:ascii="宋体" w:hAnsi="宋体" w:cs="宋体"/>
          <w:sz w:val="28"/>
          <w:szCs w:val="28"/>
          <w:lang w:val="en-US" w:eastAsia="zh-CN"/>
        </w:rPr>
        <w:t>90</w:t>
      </w:r>
      <w:r>
        <w:rPr>
          <w:rFonts w:hint="eastAsia" w:ascii="宋体" w:hAnsi="宋体" w:cs="宋体"/>
          <w:sz w:val="28"/>
          <w:szCs w:val="28"/>
        </w:rPr>
        <w:t>%的学生对理论学习、专业学习、实习实训方面感觉满意或基本满意，超过93%的学生对校园文化与社团活动方面感觉满意或基本满意，超过95%的学生对在校学习生活、学校安全方面满意度感觉满意或基本满意。</w:t>
      </w:r>
    </w:p>
    <w:p>
      <w:pPr>
        <w:pStyle w:val="3"/>
        <w:bidi w:val="0"/>
        <w:jc w:val="center"/>
        <w:rPr>
          <w:rFonts w:hint="eastAsia"/>
        </w:rPr>
      </w:pPr>
      <w:bookmarkStart w:id="17" w:name="_Toc4031"/>
      <w:r>
        <w:rPr>
          <w:rFonts w:hint="eastAsia"/>
        </w:rPr>
        <w:t>（四）管理育人</w:t>
      </w:r>
      <w:bookmarkEnd w:id="17"/>
    </w:p>
    <w:p>
      <w:pPr>
        <w:spacing w:line="360" w:lineRule="auto"/>
        <w:ind w:firstLine="560" w:firstLineChars="200"/>
        <w:rPr>
          <w:rFonts w:hint="eastAsia" w:ascii="宋体" w:hAnsi="宋体" w:cs="宋体"/>
          <w:sz w:val="28"/>
          <w:szCs w:val="28"/>
        </w:rPr>
      </w:pPr>
      <w:r>
        <w:rPr>
          <w:rFonts w:hint="eastAsia" w:ascii="宋体" w:hAnsi="宋体" w:cs="宋体"/>
          <w:sz w:val="28"/>
          <w:szCs w:val="28"/>
        </w:rPr>
        <w:t>加强辅导员队伍建设，辅导员工作质量不断提升。积极开展辅导员交流学习，定期组织开展辅导员沙龙，以辅导员自我展示的形式分享交流经验。认真组织辅导员培训工作，提升辅导员职业能力。积极组织辅导员参加辽宁省辅导员培训基地的培训、全国高校心理危机预防干预网络培训、2022年新入职辅导员网培训等一系列培训活动，达到全员参与全覆盖。</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进一步加强校纪和校风建设，对学生日常管理中的空白点和漏洞进行补充、修改，仪容仪表、文明规范、公共场所禁烟等多方面着手，全面规范和加强学生日常管理工作。以学生文明行为养成工作为重点，大力宣传健康文明的生活方式，联合各二级学院辅导员、学生处专干及学生会干部耐心做好学生的思想政治教育工作，共同教育、共同解决学生目前存在的问题。做好常规检查工作</w:t>
      </w:r>
      <w:r>
        <w:rPr>
          <w:rFonts w:hint="eastAsia" w:ascii="宋体" w:hAnsi="宋体" w:cs="宋体"/>
          <w:sz w:val="28"/>
          <w:szCs w:val="28"/>
          <w:lang w:eastAsia="zh-CN"/>
        </w:rPr>
        <w:t>，</w:t>
      </w:r>
      <w:r>
        <w:rPr>
          <w:rFonts w:hint="eastAsia" w:ascii="宋体" w:hAnsi="宋体" w:cs="宋体"/>
          <w:sz w:val="28"/>
          <w:szCs w:val="28"/>
        </w:rPr>
        <w:t>组织学生干部进行劳动班卫生、分担区卫生、晚自习纪律、寝室内务评比，各部门对检查结果进行评分，汇总计算后得出各学院常规检查综合成绩，并及时公布，及时向二级学院通报常规检查情况</w:t>
      </w:r>
      <w:r>
        <w:rPr>
          <w:rFonts w:hint="eastAsia" w:ascii="宋体" w:hAnsi="宋体" w:cs="宋体"/>
          <w:sz w:val="28"/>
          <w:szCs w:val="28"/>
          <w:lang w:eastAsia="zh-CN"/>
        </w:rPr>
        <w:t>，</w:t>
      </w:r>
      <w:r>
        <w:rPr>
          <w:rFonts w:hint="eastAsia" w:ascii="宋体" w:hAnsi="宋体" w:cs="宋体"/>
          <w:sz w:val="28"/>
          <w:szCs w:val="28"/>
        </w:rPr>
        <w:t>激励、引导学生自我教育、自我管理、自我服务。</w:t>
      </w:r>
    </w:p>
    <w:p>
      <w:pPr>
        <w:spacing w:line="360" w:lineRule="auto"/>
        <w:ind w:firstLine="560" w:firstLineChars="200"/>
        <w:rPr>
          <w:rFonts w:hint="eastAsia" w:ascii="宋体" w:hAnsi="宋体" w:cs="宋体"/>
          <w:sz w:val="28"/>
          <w:szCs w:val="28"/>
        </w:rPr>
      </w:pPr>
    </w:p>
    <w:p>
      <w:pPr>
        <w:spacing w:line="360" w:lineRule="auto"/>
        <w:jc w:val="center"/>
        <w:rPr>
          <w:rFonts w:ascii="宋体" w:hAnsi="宋体"/>
          <w:sz w:val="28"/>
          <w:szCs w:val="28"/>
        </w:rPr>
      </w:pPr>
      <w:r>
        <w:rPr>
          <w:rFonts w:hint="eastAsia" w:ascii="宋体" w:hAnsi="宋体"/>
          <w:sz w:val="28"/>
          <w:szCs w:val="28"/>
        </w:rPr>
        <w:drawing>
          <wp:inline distT="0" distB="0" distL="114300" distR="114300">
            <wp:extent cx="4870450" cy="2413000"/>
            <wp:effectExtent l="0" t="0" r="6350" b="6350"/>
            <wp:docPr id="17" name="图片 1" descr="bd19cb84731cea01ff24e089e099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bd19cb84731cea01ff24e089e099e2c"/>
                    <pic:cNvPicPr>
                      <a:picLocks noChangeAspect="1"/>
                    </pic:cNvPicPr>
                  </pic:nvPicPr>
                  <pic:blipFill>
                    <a:blip r:embed="rId8" cstate="print"/>
                    <a:stretch>
                      <a:fillRect/>
                    </a:stretch>
                  </pic:blipFill>
                  <pic:spPr>
                    <a:xfrm>
                      <a:off x="0" y="0"/>
                      <a:ext cx="4870450" cy="2413000"/>
                    </a:xfrm>
                    <a:prstGeom prst="rect">
                      <a:avLst/>
                    </a:prstGeom>
                    <a:noFill/>
                    <a:ln>
                      <a:noFill/>
                    </a:ln>
                  </pic:spPr>
                </pic:pic>
              </a:graphicData>
            </a:graphic>
          </wp:inline>
        </w:drawing>
      </w:r>
    </w:p>
    <w:p>
      <w:pPr>
        <w:jc w:val="center"/>
        <w:rPr>
          <w:rFonts w:ascii="楷体" w:hAnsi="楷体" w:eastAsia="楷体" w:cs="楷体"/>
          <w:sz w:val="24"/>
        </w:rPr>
      </w:pPr>
      <w:r>
        <w:rPr>
          <w:rFonts w:hint="eastAsia" w:ascii="楷体" w:hAnsi="楷体" w:eastAsia="楷体" w:cs="楷体"/>
          <w:sz w:val="24"/>
        </w:rPr>
        <w:t>学生处党支部主题党课</w:t>
      </w:r>
    </w:p>
    <w:p>
      <w:pPr>
        <w:spacing w:line="360" w:lineRule="auto"/>
        <w:jc w:val="center"/>
      </w:pPr>
      <w:r>
        <w:rPr>
          <w:rFonts w:hint="eastAsia"/>
        </w:rPr>
        <w:drawing>
          <wp:inline distT="0" distB="0" distL="114300" distR="114300">
            <wp:extent cx="4871085" cy="2936875"/>
            <wp:effectExtent l="0" t="0" r="5715" b="15875"/>
            <wp:docPr id="18" name="图片 2" descr="7fd806f29f11d27ca27e0cbff5d5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7fd806f29f11d27ca27e0cbff5d5e04"/>
                    <pic:cNvPicPr>
                      <a:picLocks noChangeAspect="1"/>
                    </pic:cNvPicPr>
                  </pic:nvPicPr>
                  <pic:blipFill>
                    <a:blip r:embed="rId9" cstate="print"/>
                    <a:stretch>
                      <a:fillRect/>
                    </a:stretch>
                  </pic:blipFill>
                  <pic:spPr>
                    <a:xfrm>
                      <a:off x="0" y="0"/>
                      <a:ext cx="4871085" cy="2936875"/>
                    </a:xfrm>
                    <a:prstGeom prst="rect">
                      <a:avLst/>
                    </a:prstGeom>
                    <a:noFill/>
                    <a:ln>
                      <a:noFill/>
                    </a:ln>
                  </pic:spPr>
                </pic:pic>
              </a:graphicData>
            </a:graphic>
          </wp:inline>
        </w:drawing>
      </w:r>
    </w:p>
    <w:p>
      <w:pPr>
        <w:jc w:val="center"/>
        <w:rPr>
          <w:rFonts w:ascii="楷体" w:hAnsi="楷体" w:eastAsia="楷体" w:cs="楷体"/>
          <w:sz w:val="24"/>
        </w:rPr>
      </w:pPr>
      <w:r>
        <w:rPr>
          <w:rFonts w:hint="eastAsia" w:ascii="楷体" w:hAnsi="楷体" w:eastAsia="楷体" w:cs="楷体"/>
          <w:sz w:val="24"/>
        </w:rPr>
        <w:t>航海学院学生思想动态座谈会</w:t>
      </w:r>
    </w:p>
    <w:p>
      <w:pPr>
        <w:spacing w:line="360" w:lineRule="auto"/>
        <w:jc w:val="center"/>
        <w:rPr>
          <w:rFonts w:ascii="宋体" w:hAnsi="宋体" w:cs="宋体"/>
          <w:b/>
          <w:bCs/>
          <w:sz w:val="36"/>
          <w:szCs w:val="36"/>
        </w:rPr>
      </w:pPr>
      <w:r>
        <w:rPr>
          <w:rFonts w:hint="eastAsia"/>
        </w:rPr>
        <w:drawing>
          <wp:inline distT="0" distB="0" distL="114300" distR="114300">
            <wp:extent cx="4870450" cy="2337435"/>
            <wp:effectExtent l="0" t="0" r="6350" b="5715"/>
            <wp:docPr id="19" name="图片 3" descr="e50adeb1b1a236e691b25c0af3c4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e50adeb1b1a236e691b25c0af3c49b3"/>
                    <pic:cNvPicPr>
                      <a:picLocks noChangeAspect="1"/>
                    </pic:cNvPicPr>
                  </pic:nvPicPr>
                  <pic:blipFill>
                    <a:blip r:embed="rId10" cstate="print"/>
                    <a:stretch>
                      <a:fillRect/>
                    </a:stretch>
                  </pic:blipFill>
                  <pic:spPr>
                    <a:xfrm>
                      <a:off x="0" y="0"/>
                      <a:ext cx="4870450" cy="2337435"/>
                    </a:xfrm>
                    <a:prstGeom prst="rect">
                      <a:avLst/>
                    </a:prstGeom>
                    <a:noFill/>
                    <a:ln>
                      <a:noFill/>
                    </a:ln>
                  </pic:spPr>
                </pic:pic>
              </a:graphicData>
            </a:graphic>
          </wp:inline>
        </w:drawing>
      </w:r>
    </w:p>
    <w:p>
      <w:pPr>
        <w:spacing w:line="360" w:lineRule="auto"/>
        <w:ind w:firstLine="560" w:firstLineChars="200"/>
        <w:rPr>
          <w:rFonts w:hint="eastAsia" w:ascii="宋体" w:hAnsi="宋体" w:cs="宋体"/>
          <w:sz w:val="28"/>
          <w:szCs w:val="28"/>
        </w:rPr>
      </w:pPr>
    </w:p>
    <w:p>
      <w:pPr>
        <w:pStyle w:val="2"/>
        <w:bidi w:val="0"/>
        <w:jc w:val="center"/>
      </w:pPr>
      <w:bookmarkStart w:id="18" w:name="_Toc13322"/>
      <w:r>
        <w:rPr>
          <w:rFonts w:hint="eastAsia"/>
        </w:rPr>
        <w:t>三、教育教学质量</w:t>
      </w:r>
      <w:bookmarkEnd w:id="18"/>
    </w:p>
    <w:p>
      <w:pPr>
        <w:pStyle w:val="3"/>
        <w:bidi w:val="0"/>
        <w:jc w:val="center"/>
        <w:rPr>
          <w:rFonts w:hint="eastAsia"/>
        </w:rPr>
      </w:pPr>
      <w:bookmarkStart w:id="19" w:name="_Toc14176"/>
      <w:r>
        <w:rPr>
          <w:rFonts w:hint="eastAsia"/>
        </w:rPr>
        <w:t>（一）专业建设质量</w:t>
      </w:r>
      <w:bookmarkEnd w:id="19"/>
    </w:p>
    <w:p>
      <w:pPr>
        <w:spacing w:line="360" w:lineRule="auto"/>
        <w:ind w:firstLine="560" w:firstLineChars="200"/>
        <w:rPr>
          <w:rFonts w:ascii="宋体" w:hAnsi="宋体" w:cs="宋体"/>
          <w:sz w:val="28"/>
          <w:szCs w:val="28"/>
        </w:rPr>
      </w:pPr>
      <w:r>
        <w:rPr>
          <w:rFonts w:hint="eastAsia" w:ascii="宋体" w:hAnsi="宋体" w:cs="宋体"/>
          <w:sz w:val="28"/>
          <w:szCs w:val="28"/>
        </w:rPr>
        <w:t>学校按照“合理布局、突出特色、形成优势”的专业建设和发展原则，优化专业布局，提高市场竞争力。依靠特色教学设备、高水准的师资队伍、科学规范的管理和良好的学习环境，设置符合学校发展特色的专业（群）。目前，已经形成航海类、电气机电、关务与外贸服务、旅游管理等几个依靠交通运输业发展，服务航运建设，实现职业特色教育发展的专业（群）。</w:t>
      </w:r>
    </w:p>
    <w:p>
      <w:pPr>
        <w:spacing w:line="360" w:lineRule="auto"/>
        <w:ind w:firstLine="560" w:firstLineChars="200"/>
        <w:rPr>
          <w:rFonts w:ascii="宋体" w:hAnsi="宋体" w:cs="宋体"/>
          <w:sz w:val="28"/>
          <w:szCs w:val="28"/>
        </w:rPr>
      </w:pPr>
      <w:r>
        <w:rPr>
          <w:rFonts w:hint="eastAsia" w:ascii="宋体" w:hAnsi="宋体" w:cs="宋体"/>
          <w:sz w:val="28"/>
          <w:szCs w:val="28"/>
        </w:rPr>
        <w:t>在现有专业基础上，学校坚持以市场需求为导向，建立健全专业随产业发展动态调整的机制，在优化、完善固有专业的同时，积极培育符合学院特色发展的新专业增长点，提升综合办学能力和办学水平。</w:t>
      </w:r>
    </w:p>
    <w:p>
      <w:pPr>
        <w:pStyle w:val="3"/>
        <w:bidi w:val="0"/>
        <w:jc w:val="center"/>
      </w:pPr>
      <w:bookmarkStart w:id="20" w:name="_Toc3497"/>
      <w:r>
        <w:rPr>
          <w:rFonts w:hint="eastAsia"/>
        </w:rPr>
        <w:t>（二）课程建设质量</w:t>
      </w:r>
      <w:bookmarkEnd w:id="20"/>
    </w:p>
    <w:p>
      <w:pPr>
        <w:spacing w:line="360" w:lineRule="auto"/>
        <w:ind w:firstLine="560" w:firstLineChars="200"/>
        <w:rPr>
          <w:rFonts w:ascii="宋体" w:hAnsi="宋体" w:cs="宋体"/>
          <w:sz w:val="28"/>
          <w:szCs w:val="28"/>
        </w:rPr>
      </w:pPr>
      <w:r>
        <w:rPr>
          <w:rFonts w:hint="eastAsia" w:ascii="宋体" w:hAnsi="宋体" w:cs="宋体"/>
          <w:sz w:val="28"/>
          <w:szCs w:val="28"/>
        </w:rPr>
        <w:t>为贯彻《国家职业教育改革实施方案》，进一步深化教育教学改革，充分体现现代职业教育特色，提高人才培养质量，学校依据《教育部关于职业院校专业人才培养方案制订与实施工作的指导意见》教职【2019】13号文件具体要求和职业教育专业简介，修订了2022年专业人才培养方案。按照教育部和辽宁省教育厅的统筹指导，本次修订不仅总结既往的教学实践活动，而且深入贯彻落实习近平总书记关于“大思政课”的重要指示批示和在中国人民大学考察时的重要讲话精神</w:t>
      </w:r>
      <w:r>
        <w:rPr>
          <w:rFonts w:hint="eastAsia" w:ascii="宋体" w:hAnsi="宋体" w:cs="宋体"/>
          <w:sz w:val="28"/>
          <w:szCs w:val="28"/>
          <w:lang w:eastAsia="zh-CN"/>
        </w:rPr>
        <w:t>，</w:t>
      </w:r>
      <w:r>
        <w:rPr>
          <w:rFonts w:hint="eastAsia" w:ascii="宋体" w:hAnsi="宋体" w:cs="宋体"/>
          <w:sz w:val="28"/>
          <w:szCs w:val="28"/>
        </w:rPr>
        <w:t>以立德树人为根本，以改革创新为动力，以校企合作专业建设为主线，着力培养符合现代企业需求、综合素质高的技术技能型人才。</w:t>
      </w:r>
    </w:p>
    <w:p>
      <w:pPr>
        <w:pStyle w:val="3"/>
        <w:bidi w:val="0"/>
        <w:jc w:val="center"/>
      </w:pPr>
      <w:bookmarkStart w:id="21" w:name="_Toc5922"/>
      <w:r>
        <w:rPr>
          <w:rFonts w:hint="eastAsia"/>
        </w:rPr>
        <w:t>（三）教学方法改革</w:t>
      </w:r>
      <w:bookmarkEnd w:id="21"/>
    </w:p>
    <w:p>
      <w:pPr>
        <w:spacing w:line="360" w:lineRule="auto"/>
        <w:ind w:firstLine="560" w:firstLineChars="200"/>
        <w:rPr>
          <w:rFonts w:ascii="宋体" w:hAnsi="宋体" w:cs="宋体"/>
          <w:sz w:val="28"/>
          <w:szCs w:val="28"/>
        </w:rPr>
      </w:pPr>
      <w:r>
        <w:rPr>
          <w:rFonts w:hint="eastAsia" w:ascii="宋体" w:hAnsi="宋体" w:cs="宋体"/>
          <w:sz w:val="28"/>
          <w:szCs w:val="28"/>
        </w:rPr>
        <w:t>传统教学模式有利于教师主导作用的发挥，有利于教师对课堂教学的组织、管理与控制。但在传统教学模式基础上，利用信息化教学模式信息源丰富、知识量大的特点，采用传统教学与信息化教学相结合的模式，实现协作式教学，可以有效提升课堂学习效果。</w:t>
      </w:r>
    </w:p>
    <w:p>
      <w:pPr>
        <w:spacing w:line="360" w:lineRule="auto"/>
        <w:ind w:firstLine="560" w:firstLineChars="200"/>
        <w:rPr>
          <w:rFonts w:ascii="宋体" w:hAnsi="宋体" w:cs="宋体"/>
          <w:sz w:val="28"/>
          <w:szCs w:val="28"/>
        </w:rPr>
      </w:pPr>
      <w:r>
        <w:rPr>
          <w:rFonts w:hint="eastAsia" w:ascii="宋体" w:hAnsi="宋体" w:cs="宋体"/>
          <w:sz w:val="28"/>
          <w:szCs w:val="28"/>
        </w:rPr>
        <w:t>受疫情影响，学校开展线上线下相结合的模式进行授课。大力推广信息化教学模式促进学生学习积极性和主动性，满足学生对知识的个性化需求。教师都能够利用信息平台开展诸如自测练习、组织统一考试、布置课外作业或组卷、答卷评阅与成绩管理等众多项目。学校依托信息化教学手段，转变教学模式，有效完成特殊时期的教学任务。</w:t>
      </w:r>
    </w:p>
    <w:p>
      <w:pPr>
        <w:pStyle w:val="3"/>
        <w:bidi w:val="0"/>
        <w:jc w:val="center"/>
        <w:rPr>
          <w:rFonts w:hint="eastAsia"/>
        </w:rPr>
      </w:pPr>
      <w:bookmarkStart w:id="22" w:name="_Toc3629"/>
      <w:r>
        <w:rPr>
          <w:rFonts w:hint="eastAsia"/>
        </w:rPr>
        <w:t>（四）教材建设质量</w:t>
      </w:r>
      <w:bookmarkEnd w:id="22"/>
    </w:p>
    <w:p>
      <w:pPr>
        <w:spacing w:line="360" w:lineRule="auto"/>
        <w:ind w:firstLine="560" w:firstLineChars="200"/>
        <w:rPr>
          <w:rFonts w:ascii="宋体" w:hAnsi="宋体" w:cs="宋体"/>
          <w:sz w:val="28"/>
          <w:szCs w:val="28"/>
        </w:rPr>
      </w:pPr>
      <w:r>
        <w:rPr>
          <w:rFonts w:hint="eastAsia" w:ascii="宋体" w:hAnsi="宋体" w:cs="宋体"/>
          <w:sz w:val="28"/>
          <w:szCs w:val="28"/>
        </w:rPr>
        <w:t>学校认真落实教育部关于印发《职业院校教材管理办法》的通知，规范和加强学校教材管理、健全内部管理制度、选好用好教材、打造精品教材，切实提高教材建设水平。鼓励专业课教师根据本校人才培养和教学实际需要，补充编写反映自身专业特色的教材。</w:t>
      </w:r>
    </w:p>
    <w:p>
      <w:pPr>
        <w:spacing w:line="360" w:lineRule="auto"/>
        <w:ind w:firstLine="560" w:firstLineChars="200"/>
        <w:rPr>
          <w:rFonts w:ascii="宋体" w:hAnsi="宋体" w:cs="宋体"/>
          <w:sz w:val="28"/>
          <w:szCs w:val="28"/>
        </w:rPr>
      </w:pPr>
      <w:r>
        <w:rPr>
          <w:rFonts w:hint="eastAsia" w:ascii="宋体" w:hAnsi="宋体" w:cs="宋体"/>
          <w:sz w:val="28"/>
          <w:szCs w:val="28"/>
        </w:rPr>
        <w:t>在教材选用上学校对其思想性、科学性、适宜性进行严格把关。在教材的政治立场、意识导向、匹配性等方面加强审核，坚持“凡编必审、凡选必审”。在思政类、法律类教材的选用方面，学校坚持使用国家统编教材</w:t>
      </w:r>
      <w:r>
        <w:rPr>
          <w:rFonts w:hint="eastAsia" w:ascii="宋体" w:hAnsi="宋体" w:cs="宋体"/>
          <w:sz w:val="28"/>
          <w:szCs w:val="28"/>
          <w:lang w:eastAsia="zh-CN"/>
        </w:rPr>
        <w:t>，</w:t>
      </w:r>
      <w:r>
        <w:rPr>
          <w:rFonts w:hint="eastAsia" w:ascii="宋体" w:hAnsi="宋体" w:cs="宋体"/>
          <w:sz w:val="28"/>
          <w:szCs w:val="28"/>
        </w:rPr>
        <w:t>政治、专业、专题等方面得到有效保障。</w:t>
      </w:r>
    </w:p>
    <w:p>
      <w:pPr>
        <w:pStyle w:val="3"/>
        <w:bidi w:val="0"/>
        <w:jc w:val="center"/>
        <w:rPr>
          <w:rFonts w:hint="eastAsia"/>
        </w:rPr>
      </w:pPr>
      <w:bookmarkStart w:id="23" w:name="_Toc1368"/>
      <w:r>
        <w:rPr>
          <w:rFonts w:hint="eastAsia"/>
        </w:rPr>
        <w:t>（五）数字化教学资源建设</w:t>
      </w:r>
      <w:bookmarkEnd w:id="23"/>
    </w:p>
    <w:p>
      <w:pPr>
        <w:spacing w:line="360" w:lineRule="auto"/>
        <w:ind w:firstLine="560" w:firstLineChars="200"/>
        <w:rPr>
          <w:rFonts w:ascii="宋体" w:hAnsi="宋体" w:cs="宋体"/>
          <w:sz w:val="28"/>
          <w:szCs w:val="28"/>
        </w:rPr>
      </w:pPr>
      <w:r>
        <w:rPr>
          <w:rFonts w:hint="eastAsia" w:ascii="宋体" w:hAnsi="宋体" w:cs="宋体"/>
          <w:sz w:val="28"/>
          <w:szCs w:val="28"/>
        </w:rPr>
        <w:t>为贯彻落实《职业教育法》明确指出“支持运用信息技术和其他现代化教学方式，开发职业教育网络课程等学习资源，创新教学方式和学校管理方式，推动职业教育信息化建设与融合应用”</w:t>
      </w:r>
      <w:r>
        <w:rPr>
          <w:rFonts w:hint="eastAsia" w:ascii="宋体" w:hAnsi="宋体" w:cs="宋体"/>
          <w:sz w:val="28"/>
          <w:szCs w:val="28"/>
          <w:lang w:eastAsia="zh-CN"/>
        </w:rPr>
        <w:t>，</w:t>
      </w:r>
      <w:r>
        <w:rPr>
          <w:rFonts w:hint="eastAsia" w:ascii="宋体" w:hAnsi="宋体" w:cs="宋体"/>
          <w:sz w:val="28"/>
          <w:szCs w:val="28"/>
        </w:rPr>
        <w:t>学校提倡教师结合国家智慧教育平台或其它职业教育网络课程等学习资源，创新教学方式和学校管理方式，以推动数字化教学资源。同时推荐教师采用微课、慕课、云端同步课程等便捷与多样化的传播形式开展线上和线下教学相结合的方式，开展数字化教学资源建设，有效激发学生的学习兴趣，提升教学效果。</w:t>
      </w:r>
    </w:p>
    <w:p>
      <w:pPr>
        <w:pStyle w:val="3"/>
        <w:bidi w:val="0"/>
        <w:jc w:val="center"/>
        <w:rPr>
          <w:rFonts w:hint="eastAsia"/>
        </w:rPr>
      </w:pPr>
      <w:bookmarkStart w:id="24" w:name="_Toc1758"/>
      <w:r>
        <w:rPr>
          <w:rFonts w:hint="eastAsia"/>
        </w:rPr>
        <w:t>（六）师资队伍建设</w:t>
      </w:r>
      <w:bookmarkEnd w:id="13"/>
      <w:bookmarkEnd w:id="14"/>
      <w:bookmarkEnd w:id="24"/>
    </w:p>
    <w:p>
      <w:pPr>
        <w:spacing w:line="360" w:lineRule="auto"/>
        <w:ind w:firstLine="560" w:firstLineChars="200"/>
        <w:rPr>
          <w:rFonts w:ascii="宋体" w:hAnsi="宋体" w:cs="宋体"/>
          <w:sz w:val="28"/>
          <w:szCs w:val="28"/>
        </w:rPr>
      </w:pPr>
      <w:r>
        <w:rPr>
          <w:rFonts w:hint="eastAsia" w:ascii="宋体" w:hAnsi="宋体" w:cs="宋体"/>
          <w:sz w:val="28"/>
          <w:szCs w:val="28"/>
        </w:rPr>
        <w:t>学校教师多数来自港口、航运类企事业单位，经过多年发展，一批批优秀船长、轮机长、机电工程师、物流师、经济师等充实教师队伍，既保持实践活力，又秉承敦厚的学风，师资结构基本实现“老中青”合理配置。学校不断规范现有各项教学管理规章制度，在岗位聘任、职称评审过程中，将双师素质纳入考核指标，持续开展“以老带新、一帮一”等提升教学能力活动。学校定期组织进行青年教师培训活动，针对青年教师做《如何写好教学设计》、《如何做一名新时代合格教师》、《如何备课，写好教案》、《如何上好一堂课》等培训。通过讲课竞赛、教学观摩课等多种形式的教学方法研究，锻炼教师实践教学技能，提高教学水平。在寒暑假期间组织青年教师、骨干教师参加辽宁省职业院校教师素质提高培训项目，组织全员教师参加国家职业教育智慧教育平台研修项目。</w:t>
      </w:r>
    </w:p>
    <w:p>
      <w:pPr>
        <w:spacing w:line="360" w:lineRule="auto"/>
        <w:ind w:firstLine="560" w:firstLineChars="200"/>
        <w:rPr>
          <w:rFonts w:ascii="宋体" w:hAnsi="宋体" w:cs="宋体"/>
          <w:sz w:val="28"/>
          <w:szCs w:val="28"/>
        </w:rPr>
      </w:pPr>
      <w:r>
        <w:rPr>
          <w:rFonts w:hint="eastAsia" w:ascii="宋体" w:hAnsi="宋体" w:cs="宋体"/>
          <w:sz w:val="28"/>
          <w:szCs w:val="28"/>
        </w:rPr>
        <w:t>学校鼓励参加继续教育、培训和企业锻炼。教师可带薪参加海事局、教育行政主管部门组织的各类技能培训；航海类教师可上船工作，不仅可以融合理论知识与实践能力，也能掌握最新航海技术，通过不间断的向国内外学习先进的教学与实践经验，不断提升教师的教学能力。</w:t>
      </w:r>
    </w:p>
    <w:p>
      <w:pPr>
        <w:pStyle w:val="3"/>
        <w:bidi w:val="0"/>
        <w:jc w:val="center"/>
      </w:pPr>
      <w:bookmarkStart w:id="25" w:name="_Toc6509"/>
      <w:r>
        <w:rPr>
          <w:rFonts w:hint="eastAsia"/>
        </w:rPr>
        <w:t>（七）校企双元育人</w:t>
      </w:r>
      <w:bookmarkEnd w:id="25"/>
    </w:p>
    <w:p>
      <w:pPr>
        <w:spacing w:line="360" w:lineRule="auto"/>
        <w:ind w:firstLine="560" w:firstLineChars="200"/>
        <w:rPr>
          <w:rFonts w:ascii="宋体" w:hAnsi="宋体" w:cs="宋体"/>
          <w:sz w:val="28"/>
          <w:szCs w:val="28"/>
        </w:rPr>
      </w:pPr>
      <w:r>
        <w:rPr>
          <w:rFonts w:hint="eastAsia" w:ascii="宋体" w:hAnsi="宋体" w:cs="宋体"/>
          <w:sz w:val="28"/>
          <w:szCs w:val="28"/>
        </w:rPr>
        <w:t>为贯彻落实国务院发布的《国家职业教育改革实施方案》明确提出“促进产教融合校企“双元”育人”</w:t>
      </w:r>
      <w:r>
        <w:rPr>
          <w:rFonts w:hint="eastAsia" w:ascii="宋体" w:hAnsi="宋体" w:cs="宋体"/>
          <w:sz w:val="28"/>
          <w:szCs w:val="28"/>
          <w:lang w:eastAsia="zh-CN"/>
        </w:rPr>
        <w:t>，</w:t>
      </w:r>
      <w:r>
        <w:rPr>
          <w:rFonts w:hint="eastAsia" w:ascii="宋体" w:hAnsi="宋体" w:cs="宋体"/>
          <w:sz w:val="28"/>
          <w:szCs w:val="28"/>
        </w:rPr>
        <w:t>学校构建了校企合作双元育人的人才培养模式</w:t>
      </w:r>
      <w:r>
        <w:rPr>
          <w:rFonts w:hint="eastAsia" w:ascii="宋体" w:hAnsi="宋体" w:cs="宋体"/>
          <w:sz w:val="28"/>
          <w:szCs w:val="28"/>
          <w:lang w:eastAsia="zh-CN"/>
        </w:rPr>
        <w:t>。</w:t>
      </w:r>
      <w:r>
        <w:rPr>
          <w:rFonts w:hint="eastAsia" w:ascii="宋体" w:hAnsi="宋体" w:cs="宋体"/>
          <w:sz w:val="28"/>
          <w:szCs w:val="28"/>
        </w:rPr>
        <w:t>加强订单培养，将学校育人与企业用工紧密结合，从企业的工作过程出发，明确人才培养目标定位，制定科学的人才培养方案。学校依据企业对人才培养的目标要求，在专业课程设置、教学内容、教学模式、教学方法、教学评价等方面进行改革。依据产业发展对人才的综合素质和实践能力要求，企业生产中的新技术、新理念和发展趋势等，及时调整并有针对性地进行教育教学改革实践，培养实用人才，把“双元”育人真正落实到教学和生产一线中</w:t>
      </w:r>
      <w:r>
        <w:rPr>
          <w:rFonts w:hint="eastAsia" w:ascii="宋体" w:hAnsi="宋体" w:cs="宋体"/>
          <w:sz w:val="28"/>
          <w:szCs w:val="28"/>
          <w:lang w:eastAsia="zh-CN"/>
        </w:rPr>
        <w:t>，</w:t>
      </w:r>
      <w:r>
        <w:rPr>
          <w:rFonts w:hint="eastAsia" w:ascii="宋体" w:hAnsi="宋体" w:cs="宋体"/>
          <w:sz w:val="28"/>
          <w:szCs w:val="28"/>
        </w:rPr>
        <w:t>实现校企双方在师资、实验实训设备等方面的资源共享，优势互补。</w:t>
      </w:r>
      <w:r>
        <w:rPr>
          <w:rFonts w:hint="eastAsia" w:ascii="宋体" w:hAnsi="宋体" w:cs="宋体"/>
          <w:sz w:val="28"/>
          <w:szCs w:val="28"/>
          <w:lang w:eastAsia="zh-CN"/>
        </w:rPr>
        <w:t>通过校企合作，</w:t>
      </w:r>
      <w:r>
        <w:rPr>
          <w:rFonts w:hint="eastAsia" w:ascii="宋体" w:hAnsi="宋体" w:cs="宋体"/>
          <w:sz w:val="28"/>
          <w:szCs w:val="28"/>
        </w:rPr>
        <w:t>学校解决了</w:t>
      </w:r>
      <w:r>
        <w:rPr>
          <w:rFonts w:hint="eastAsia" w:ascii="宋体" w:hAnsi="宋体" w:cs="宋体"/>
          <w:sz w:val="28"/>
          <w:szCs w:val="28"/>
          <w:lang w:eastAsia="zh-CN"/>
        </w:rPr>
        <w:t>大部分</w:t>
      </w:r>
      <w:r>
        <w:rPr>
          <w:rFonts w:hint="eastAsia" w:ascii="宋体" w:hAnsi="宋体" w:cs="宋体"/>
          <w:sz w:val="28"/>
          <w:szCs w:val="28"/>
        </w:rPr>
        <w:t>实训设备的投资、学生生产实践和顶岗实习等问题，拥有了规范的校外实训基地，提高了学生的技能水平和就业能力。企业也通过订单培养的方式获得了“量身定做”的技术工人，从而减少了员工的职前培训投入，稳定了优质的劳动力资源。</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678045" cy="2772410"/>
            <wp:effectExtent l="0" t="0" r="8255" b="8890"/>
            <wp:docPr id="14" name="图片 14" descr="b4db5e9cf322ba003a2c167a982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4db5e9cf322ba003a2c167a9824351"/>
                    <pic:cNvPicPr>
                      <a:picLocks noChangeAspect="1"/>
                    </pic:cNvPicPr>
                  </pic:nvPicPr>
                  <pic:blipFill>
                    <a:blip r:embed="rId11"/>
                    <a:stretch>
                      <a:fillRect/>
                    </a:stretch>
                  </pic:blipFill>
                  <pic:spPr>
                    <a:xfrm>
                      <a:off x="0" y="0"/>
                      <a:ext cx="4678045" cy="2772410"/>
                    </a:xfrm>
                    <a:prstGeom prst="rect">
                      <a:avLst/>
                    </a:prstGeom>
                  </pic:spPr>
                </pic:pic>
              </a:graphicData>
            </a:graphic>
          </wp:inline>
        </w:drawing>
      </w:r>
    </w:p>
    <w:p>
      <w:pPr>
        <w:jc w:val="center"/>
        <w:rPr>
          <w:rFonts w:ascii="楷体" w:hAnsi="楷体" w:eastAsia="楷体" w:cs="楷体"/>
          <w:sz w:val="24"/>
        </w:rPr>
      </w:pPr>
      <w:r>
        <w:rPr>
          <w:rFonts w:hint="eastAsia" w:ascii="楷体" w:hAnsi="楷体" w:eastAsia="楷体" w:cs="楷体"/>
          <w:sz w:val="24"/>
        </w:rPr>
        <w:t>教学质量检查工作总结会议</w:t>
      </w:r>
    </w:p>
    <w:p>
      <w:pPr>
        <w:jc w:val="center"/>
        <w:rPr>
          <w:rFonts w:ascii="楷体" w:hAnsi="楷体" w:eastAsia="楷体" w:cs="楷体"/>
          <w:sz w:val="24"/>
        </w:rPr>
      </w:pPr>
      <w:r>
        <w:rPr>
          <w:rFonts w:hint="eastAsia" w:ascii="楷体" w:hAnsi="楷体" w:eastAsia="楷体" w:cs="楷体"/>
          <w:sz w:val="24"/>
        </w:rPr>
        <w:drawing>
          <wp:inline distT="0" distB="0" distL="114300" distR="114300">
            <wp:extent cx="4677410" cy="2179320"/>
            <wp:effectExtent l="0" t="0" r="8890" b="11430"/>
            <wp:docPr id="15" name="图片 15" descr="5e4e0c0a4cbb655eead02c862da2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e4e0c0a4cbb655eead02c862da2a94"/>
                    <pic:cNvPicPr>
                      <a:picLocks noChangeAspect="1"/>
                    </pic:cNvPicPr>
                  </pic:nvPicPr>
                  <pic:blipFill>
                    <a:blip r:embed="rId12"/>
                    <a:stretch>
                      <a:fillRect/>
                    </a:stretch>
                  </pic:blipFill>
                  <pic:spPr>
                    <a:xfrm>
                      <a:off x="0" y="0"/>
                      <a:ext cx="4677410" cy="2179320"/>
                    </a:xfrm>
                    <a:prstGeom prst="rect">
                      <a:avLst/>
                    </a:prstGeom>
                  </pic:spPr>
                </pic:pic>
              </a:graphicData>
            </a:graphic>
          </wp:inline>
        </w:drawing>
      </w:r>
    </w:p>
    <w:p>
      <w:pPr>
        <w:jc w:val="center"/>
        <w:rPr>
          <w:rFonts w:ascii="楷体" w:hAnsi="楷体" w:eastAsia="楷体" w:cs="楷体"/>
          <w:sz w:val="24"/>
        </w:rPr>
      </w:pPr>
      <w:r>
        <w:rPr>
          <w:rFonts w:hint="eastAsia" w:ascii="楷体" w:hAnsi="楷体" w:eastAsia="楷体" w:cs="楷体"/>
          <w:sz w:val="24"/>
        </w:rPr>
        <w:t>专业建设质量会议</w:t>
      </w:r>
    </w:p>
    <w:p>
      <w:pPr>
        <w:jc w:val="center"/>
        <w:rPr>
          <w:rFonts w:ascii="楷体" w:hAnsi="楷体" w:eastAsia="楷体" w:cs="楷体"/>
          <w:sz w:val="24"/>
        </w:rPr>
      </w:pPr>
      <w:r>
        <w:rPr>
          <w:rFonts w:hint="eastAsia" w:ascii="楷体" w:hAnsi="楷体" w:eastAsia="楷体" w:cs="楷体"/>
          <w:sz w:val="24"/>
        </w:rPr>
        <w:drawing>
          <wp:inline distT="0" distB="0" distL="114300" distR="114300">
            <wp:extent cx="4713605" cy="2641600"/>
            <wp:effectExtent l="0" t="0" r="10795" b="6350"/>
            <wp:docPr id="16" name="图片 16" descr="d495b11d2fa4750985d7966a0de5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495b11d2fa4750985d7966a0de54e0"/>
                    <pic:cNvPicPr>
                      <a:picLocks noChangeAspect="1"/>
                    </pic:cNvPicPr>
                  </pic:nvPicPr>
                  <pic:blipFill>
                    <a:blip r:embed="rId13"/>
                    <a:stretch>
                      <a:fillRect/>
                    </a:stretch>
                  </pic:blipFill>
                  <pic:spPr>
                    <a:xfrm>
                      <a:off x="0" y="0"/>
                      <a:ext cx="4713605" cy="2641600"/>
                    </a:xfrm>
                    <a:prstGeom prst="rect">
                      <a:avLst/>
                    </a:prstGeom>
                  </pic:spPr>
                </pic:pic>
              </a:graphicData>
            </a:graphic>
          </wp:inline>
        </w:drawing>
      </w:r>
    </w:p>
    <w:p>
      <w:pPr>
        <w:jc w:val="center"/>
        <w:rPr>
          <w:rFonts w:ascii="楷体" w:hAnsi="楷体" w:eastAsia="楷体" w:cs="楷体"/>
          <w:sz w:val="24"/>
        </w:rPr>
      </w:pPr>
      <w:r>
        <w:rPr>
          <w:rFonts w:hint="eastAsia" w:ascii="楷体" w:hAnsi="楷体" w:eastAsia="楷体" w:cs="楷体"/>
          <w:sz w:val="24"/>
        </w:rPr>
        <w:t>人才培养方案协调会</w:t>
      </w:r>
    </w:p>
    <w:p>
      <w:pPr>
        <w:pStyle w:val="2"/>
        <w:bidi w:val="0"/>
        <w:jc w:val="center"/>
      </w:pPr>
      <w:bookmarkStart w:id="26" w:name="_Toc30671"/>
      <w:r>
        <w:rPr>
          <w:rFonts w:hint="eastAsia"/>
        </w:rPr>
        <w:t>四、服务贡献质量</w:t>
      </w:r>
      <w:bookmarkEnd w:id="26"/>
      <w:bookmarkStart w:id="27" w:name="_Toc59107820"/>
      <w:bookmarkStart w:id="28" w:name="_Toc59365577"/>
      <w:bookmarkStart w:id="29" w:name="_Toc59108014"/>
      <w:bookmarkStart w:id="30" w:name="_Toc59108027"/>
      <w:bookmarkStart w:id="31" w:name="_Toc59365597"/>
      <w:bookmarkStart w:id="32" w:name="_Toc59107833"/>
    </w:p>
    <w:p>
      <w:pPr>
        <w:pStyle w:val="3"/>
        <w:bidi w:val="0"/>
        <w:jc w:val="center"/>
        <w:rPr>
          <w:rFonts w:hint="eastAsia"/>
        </w:rPr>
      </w:pPr>
      <w:bookmarkStart w:id="33" w:name="_Toc18473"/>
      <w:r>
        <w:rPr>
          <w:rFonts w:hint="eastAsia"/>
        </w:rPr>
        <w:t>（一）人才培养质量</w:t>
      </w:r>
      <w:bookmarkEnd w:id="27"/>
      <w:bookmarkEnd w:id="28"/>
      <w:bookmarkEnd w:id="29"/>
      <w:bookmarkEnd w:id="33"/>
    </w:p>
    <w:p>
      <w:pPr>
        <w:spacing w:line="360" w:lineRule="auto"/>
        <w:ind w:firstLine="560" w:firstLineChars="200"/>
        <w:rPr>
          <w:rFonts w:ascii="宋体" w:hAnsi="宋体" w:cs="宋体"/>
          <w:sz w:val="28"/>
          <w:szCs w:val="28"/>
        </w:rPr>
      </w:pPr>
      <w:r>
        <w:rPr>
          <w:rFonts w:hint="eastAsia" w:ascii="宋体" w:hAnsi="宋体" w:cs="宋体"/>
          <w:sz w:val="28"/>
          <w:szCs w:val="28"/>
        </w:rPr>
        <w:t>回顾过去一年，学校深入贯彻国家教育部以及省教育厅文件政策规定要求，深化校企合作、产教融合，调整专业结构、创新优化人才培养方案、探索新的符合企业发展对人才需求的合理培养模式，并加强师资队伍建设，引入企业专家技术人才、完善质量体系管理等措施，人才培养质量得到进一步提升。2022年，应届毕业生就业率达89.</w:t>
      </w:r>
      <w:r>
        <w:rPr>
          <w:rFonts w:ascii="宋体" w:hAnsi="宋体" w:cs="宋体"/>
          <w:sz w:val="28"/>
          <w:szCs w:val="28"/>
        </w:rPr>
        <w:t>12</w:t>
      </w:r>
      <w:r>
        <w:rPr>
          <w:rFonts w:hint="eastAsia" w:ascii="宋体" w:hAnsi="宋体" w:cs="宋体"/>
          <w:sz w:val="28"/>
          <w:szCs w:val="28"/>
        </w:rPr>
        <w:t>%，平均月收入3050元。因受疫情影响，市场大环境整体压力较大，专业对口就业比例</w:t>
      </w:r>
      <w:r>
        <w:rPr>
          <w:rFonts w:hint="eastAsia" w:ascii="宋体" w:hAnsi="宋体" w:cs="宋体"/>
          <w:sz w:val="28"/>
          <w:szCs w:val="28"/>
          <w:lang w:eastAsia="zh-CN"/>
        </w:rPr>
        <w:t>还不高</w:t>
      </w:r>
      <w:r>
        <w:rPr>
          <w:rFonts w:hint="eastAsia" w:ascii="宋体" w:hAnsi="宋体" w:cs="宋体"/>
          <w:sz w:val="28"/>
          <w:szCs w:val="28"/>
        </w:rPr>
        <w:t>，</w:t>
      </w:r>
      <w:r>
        <w:rPr>
          <w:rFonts w:hint="eastAsia" w:ascii="宋体" w:hAnsi="宋体" w:cs="宋体"/>
          <w:sz w:val="28"/>
          <w:szCs w:val="28"/>
          <w:lang w:eastAsia="zh-CN"/>
        </w:rPr>
        <w:t>学校</w:t>
      </w:r>
      <w:r>
        <w:rPr>
          <w:rFonts w:hint="eastAsia" w:ascii="宋体" w:hAnsi="宋体" w:cs="宋体"/>
          <w:sz w:val="28"/>
          <w:szCs w:val="28"/>
        </w:rPr>
        <w:t>鼓励先就业后择业。毕业生对母校的满意度98.64%、雇主满意度为95.54%、以往毕业生三年职位晋升比例为49%，与上一年度相比基本持平。</w:t>
      </w:r>
    </w:p>
    <w:bookmarkEnd w:id="30"/>
    <w:bookmarkEnd w:id="31"/>
    <w:bookmarkEnd w:id="32"/>
    <w:p>
      <w:pPr>
        <w:pStyle w:val="3"/>
        <w:bidi w:val="0"/>
        <w:jc w:val="center"/>
        <w:rPr>
          <w:rFonts w:hint="eastAsia"/>
        </w:rPr>
      </w:pPr>
      <w:bookmarkStart w:id="34" w:name="_Toc59365598"/>
      <w:bookmarkStart w:id="35" w:name="_Toc19338"/>
      <w:r>
        <w:rPr>
          <w:rFonts w:hint="eastAsia"/>
        </w:rPr>
        <w:t>（二）就业工作</w:t>
      </w:r>
      <w:bookmarkEnd w:id="34"/>
      <w:bookmarkEnd w:id="35"/>
    </w:p>
    <w:p>
      <w:pPr>
        <w:spacing w:line="360" w:lineRule="auto"/>
        <w:ind w:firstLine="560" w:firstLineChars="200"/>
        <w:rPr>
          <w:rFonts w:ascii="宋体" w:hAnsi="宋体" w:cs="宋体"/>
          <w:sz w:val="28"/>
          <w:szCs w:val="28"/>
        </w:rPr>
      </w:pPr>
      <w:r>
        <w:rPr>
          <w:rFonts w:hint="eastAsia" w:ascii="宋体" w:hAnsi="宋体" w:cs="宋体"/>
          <w:sz w:val="28"/>
          <w:szCs w:val="28"/>
        </w:rPr>
        <w:t>今年受疫情影响，学校多次以线上宣讲网络直播等形式进行，针对部分毕业人数较多专业举办了对口企业线上专场招聘会，同时开展“精准就业指导，提高就业质量”系列宣讲会，从如何面试、简历制作、职场应对等多个方面，增强毕业生的就业能力，也让树立正确的择业就业观念，积极就业。</w:t>
      </w:r>
    </w:p>
    <w:p>
      <w:pPr>
        <w:spacing w:line="360" w:lineRule="auto"/>
        <w:ind w:firstLine="560" w:firstLineChars="200"/>
        <w:rPr>
          <w:rFonts w:ascii="宋体" w:hAnsi="宋体" w:cs="宋体"/>
          <w:sz w:val="28"/>
          <w:szCs w:val="28"/>
        </w:rPr>
      </w:pPr>
      <w:r>
        <w:rPr>
          <w:rFonts w:ascii="宋体" w:hAnsi="宋体" w:cs="宋体"/>
          <w:sz w:val="28"/>
          <w:szCs w:val="28"/>
        </w:rPr>
        <w:t>充分开展校长书记访企拓岗，主要采用网络视频、电话走访的形式累计走访企业100余家，开拓了更多优质就业</w:t>
      </w:r>
      <w:r>
        <w:rPr>
          <w:rFonts w:hint="eastAsia" w:ascii="宋体" w:hAnsi="宋体" w:cs="宋体"/>
          <w:sz w:val="28"/>
          <w:szCs w:val="28"/>
        </w:rPr>
        <w:t>岗位</w:t>
      </w:r>
      <w:r>
        <w:rPr>
          <w:rFonts w:ascii="宋体" w:hAnsi="宋体" w:cs="宋体"/>
          <w:sz w:val="28"/>
          <w:szCs w:val="28"/>
        </w:rPr>
        <w:t>，为毕业生提供更多选择。</w:t>
      </w:r>
    </w:p>
    <w:p>
      <w:pPr>
        <w:spacing w:line="360" w:lineRule="auto"/>
        <w:ind w:firstLine="560" w:firstLineChars="200"/>
        <w:rPr>
          <w:rFonts w:ascii="宋体" w:hAnsi="宋体" w:cs="宋体"/>
          <w:sz w:val="28"/>
          <w:szCs w:val="28"/>
        </w:rPr>
      </w:pPr>
      <w:r>
        <w:rPr>
          <w:rFonts w:ascii="宋体" w:hAnsi="宋体" w:cs="宋体"/>
          <w:sz w:val="28"/>
          <w:szCs w:val="28"/>
        </w:rPr>
        <w:t>积极参与宏志助航计划，不断为就业困难学生提供就业岗位，同时开展“一对一”就业帮扶，切实解决困难毕业生就业问题。</w:t>
      </w:r>
    </w:p>
    <w:p>
      <w:pPr>
        <w:spacing w:line="360" w:lineRule="auto"/>
        <w:ind w:firstLine="560" w:firstLineChars="200"/>
        <w:rPr>
          <w:rFonts w:ascii="宋体" w:hAnsi="宋体" w:cs="宋体"/>
          <w:sz w:val="28"/>
          <w:szCs w:val="28"/>
        </w:rPr>
      </w:pPr>
      <w:r>
        <w:rPr>
          <w:rFonts w:hint="eastAsia" w:ascii="宋体" w:hAnsi="宋体" w:cs="宋体"/>
          <w:sz w:val="28"/>
          <w:szCs w:val="28"/>
        </w:rPr>
        <w:t>全面向毕业生推广国家大学生就业创业平台，多种渠道同时进行力保同学们找到合适的实习就业单位。学校克服了疫情影响，线上线下学校共组织</w:t>
      </w:r>
      <w:r>
        <w:rPr>
          <w:rFonts w:ascii="宋体" w:hAnsi="宋体" w:cs="宋体"/>
          <w:sz w:val="28"/>
          <w:szCs w:val="28"/>
        </w:rPr>
        <w:t>200</w:t>
      </w:r>
      <w:r>
        <w:rPr>
          <w:rFonts w:hint="eastAsia" w:ascii="宋体" w:hAnsi="宋体" w:cs="宋体"/>
          <w:sz w:val="28"/>
          <w:szCs w:val="28"/>
        </w:rPr>
        <w:t>余家企业招聘，累计企业提供岗位</w:t>
      </w:r>
      <w:r>
        <w:rPr>
          <w:rFonts w:ascii="宋体" w:hAnsi="宋体" w:cs="宋体"/>
          <w:sz w:val="28"/>
          <w:szCs w:val="28"/>
        </w:rPr>
        <w:t>7000</w:t>
      </w:r>
      <w:r>
        <w:rPr>
          <w:rFonts w:hint="eastAsia" w:ascii="宋体" w:hAnsi="宋体" w:cs="宋体"/>
          <w:sz w:val="28"/>
          <w:szCs w:val="28"/>
        </w:rPr>
        <w:t>余</w:t>
      </w:r>
      <w:r>
        <w:rPr>
          <w:rFonts w:hint="eastAsia" w:ascii="宋体" w:hAnsi="宋体" w:cs="宋体"/>
          <w:sz w:val="28"/>
          <w:szCs w:val="28"/>
          <w:lang w:eastAsia="zh-CN"/>
        </w:rPr>
        <w:t>个</w:t>
      </w:r>
      <w:r>
        <w:rPr>
          <w:rFonts w:hint="eastAsia" w:ascii="宋体" w:hAnsi="宋体" w:cs="宋体"/>
          <w:sz w:val="28"/>
          <w:szCs w:val="28"/>
        </w:rPr>
        <w:t>，学生就业岗位选择达到</w:t>
      </w:r>
      <w:r>
        <w:rPr>
          <w:rFonts w:ascii="宋体" w:hAnsi="宋体" w:cs="宋体"/>
          <w:sz w:val="28"/>
          <w:szCs w:val="28"/>
        </w:rPr>
        <w:t>1:5</w:t>
      </w:r>
      <w:r>
        <w:rPr>
          <w:rFonts w:hint="eastAsia" w:ascii="宋体" w:hAnsi="宋体" w:cs="宋体"/>
          <w:sz w:val="28"/>
          <w:szCs w:val="28"/>
        </w:rPr>
        <w:t>，想就业的同学都会找到适合自己的工作岗位。</w:t>
      </w:r>
    </w:p>
    <w:p>
      <w:pPr>
        <w:pStyle w:val="3"/>
        <w:bidi w:val="0"/>
        <w:jc w:val="center"/>
        <w:rPr>
          <w:rFonts w:hint="eastAsia"/>
        </w:rPr>
      </w:pPr>
      <w:bookmarkStart w:id="36" w:name="_Toc32591"/>
      <w:r>
        <w:rPr>
          <w:rFonts w:hint="eastAsia"/>
        </w:rPr>
        <w:t>（三）具有本校特色的服务</w:t>
      </w:r>
      <w:bookmarkEnd w:id="36"/>
    </w:p>
    <w:p>
      <w:pPr>
        <w:spacing w:line="360" w:lineRule="auto"/>
        <w:ind w:firstLine="560" w:firstLineChars="200"/>
        <w:rPr>
          <w:rFonts w:ascii="宋体" w:hAnsi="宋体" w:cs="宋体"/>
          <w:sz w:val="28"/>
          <w:szCs w:val="28"/>
        </w:rPr>
      </w:pPr>
      <w:r>
        <w:rPr>
          <w:rFonts w:hint="eastAsia" w:ascii="宋体" w:hAnsi="宋体" w:cs="宋体"/>
          <w:sz w:val="28"/>
          <w:szCs w:val="28"/>
        </w:rPr>
        <w:t>学校坐落于大连旅顺经济开发区，处于沿海地区并且作为航海类院校，开展船员培训工作是具有地域特色和本校特色的服务。经中华人民共和国海事局核准，学校具有（沿海航区船长、大副、轮机长、大管轮）、三副、三管轮、电子电气员、电子技工、值班水手、值班机工、GMDSS通用操作员、客船船员特殊培训以及基本安全、精通救生艇筏和救助艇、高级消防、精通急救、船上医护、保安意识、负有指定保安职责、船舶保安员等20</w:t>
      </w:r>
      <w:r>
        <w:rPr>
          <w:rFonts w:hint="eastAsia" w:ascii="宋体" w:hAnsi="宋体" w:cs="宋体"/>
          <w:sz w:val="28"/>
          <w:szCs w:val="28"/>
          <w:lang w:eastAsia="zh-CN"/>
        </w:rPr>
        <w:t>余</w:t>
      </w:r>
      <w:r>
        <w:rPr>
          <w:rFonts w:hint="eastAsia" w:ascii="宋体" w:hAnsi="宋体" w:cs="宋体"/>
          <w:sz w:val="28"/>
          <w:szCs w:val="28"/>
        </w:rPr>
        <w:t>项海船船员培训项目许可，培训项目和规模处于国内同类院校前列。</w:t>
      </w:r>
    </w:p>
    <w:p>
      <w:pPr>
        <w:spacing w:line="360" w:lineRule="auto"/>
        <w:ind w:firstLine="560" w:firstLineChars="200"/>
        <w:rPr>
          <w:rFonts w:ascii="宋体" w:hAnsi="宋体" w:cs="宋体"/>
          <w:sz w:val="28"/>
          <w:szCs w:val="28"/>
        </w:rPr>
      </w:pPr>
      <w:r>
        <w:rPr>
          <w:rFonts w:hint="eastAsia" w:ascii="宋体" w:hAnsi="宋体" w:cs="宋体"/>
          <w:sz w:val="28"/>
          <w:szCs w:val="28"/>
        </w:rPr>
        <w:t>今年，学校船员培训中心积极开展本校学生合格证、适任证书培训等培训，根据《中华人民共和国船员培训管理规则</w:t>
      </w:r>
      <w:r>
        <w:rPr>
          <w:rFonts w:hint="eastAsia" w:ascii="宋体" w:hAnsi="宋体" w:cs="宋体"/>
          <w:sz w:val="28"/>
          <w:szCs w:val="28"/>
          <w:lang w:eastAsia="zh-CN"/>
        </w:rPr>
        <w:t>》</w:t>
      </w:r>
      <w:r>
        <w:rPr>
          <w:rFonts w:hint="eastAsia" w:ascii="宋体" w:hAnsi="宋体" w:cs="宋体"/>
          <w:sz w:val="28"/>
          <w:szCs w:val="28"/>
        </w:rPr>
        <w:t>及其实施办法，对我校部分设施设备进行升级改造，为下一阶段的对外培训工作打好基础。同时加强和各合作单位的密切合作,积极促进GMDSS证、值班水手、值班机工、各专业合格证等相关项目合作培训的开展。</w:t>
      </w:r>
    </w:p>
    <w:p>
      <w:pPr>
        <w:spacing w:line="360" w:lineRule="auto"/>
        <w:ind w:firstLine="560" w:firstLineChars="200"/>
        <w:rPr>
          <w:rFonts w:ascii="仿宋" w:hAnsi="仿宋" w:eastAsia="仿宋" w:cs="仿宋"/>
          <w:sz w:val="28"/>
          <w:szCs w:val="28"/>
        </w:rPr>
      </w:pPr>
    </w:p>
    <w:p>
      <w:pPr>
        <w:pStyle w:val="2"/>
        <w:bidi w:val="0"/>
        <w:jc w:val="center"/>
      </w:pPr>
      <w:bookmarkStart w:id="37" w:name="_Toc6325"/>
      <w:r>
        <w:rPr>
          <w:rFonts w:hint="eastAsia"/>
        </w:rPr>
        <w:t>五、政策落实质量</w:t>
      </w:r>
      <w:bookmarkEnd w:id="37"/>
    </w:p>
    <w:p>
      <w:pPr>
        <w:spacing w:line="360" w:lineRule="auto"/>
        <w:ind w:firstLine="560" w:firstLineChars="200"/>
        <w:rPr>
          <w:rFonts w:ascii="宋体" w:hAnsi="宋体" w:cs="宋体"/>
          <w:sz w:val="28"/>
          <w:szCs w:val="28"/>
        </w:rPr>
      </w:pPr>
      <w:r>
        <w:rPr>
          <w:rFonts w:hint="eastAsia" w:ascii="宋体" w:hAnsi="宋体" w:cs="宋体"/>
          <w:sz w:val="28"/>
          <w:szCs w:val="28"/>
        </w:rPr>
        <w:t>学校建校初期，便依据有关国际公约、国内法律、法规和规章的要求，结合自身管理发展规划，于2009年9月25日建立并正式运行《大连航运职业技术学院船员教育和培训质量管理体系》。2010年1月29日，该体系通过中华人民共和国海事局审核，获得了《中华人民共和国船员教育和培训质量管理体系证书》（No.BAP3801）。该质量体系历经建立、实施、运行、审核、纠正、再修订、再运行的逐渐递进式上升发展过程，使学校管理水平得到全面提升，人才培养质量不断提高。</w:t>
      </w:r>
    </w:p>
    <w:p>
      <w:pPr>
        <w:spacing w:line="360" w:lineRule="auto"/>
        <w:ind w:firstLine="560" w:firstLineChars="200"/>
        <w:rPr>
          <w:rFonts w:ascii="宋体" w:hAnsi="宋体" w:cs="宋体"/>
          <w:sz w:val="28"/>
          <w:szCs w:val="28"/>
        </w:rPr>
      </w:pPr>
      <w:r>
        <w:rPr>
          <w:rFonts w:ascii="宋体" w:hAnsi="宋体" w:cs="宋体"/>
          <w:sz w:val="28"/>
          <w:szCs w:val="28"/>
        </w:rPr>
        <w:t>自2009年建立船员培训质量管理体系以来，学校领导从体系的顶层设计入手、十分重视质量管理体系的建设及实施工作。学校多次聘请辽宁海事局、大连海事大学的质量管理体系方面的专家来校莅临指导，通过报告会宣传贯彻国际公约和国内法规，通过专题会议宣讲船员培训质量管理体系知识。</w:t>
      </w:r>
    </w:p>
    <w:p>
      <w:pPr>
        <w:spacing w:line="360" w:lineRule="auto"/>
        <w:ind w:firstLine="560" w:firstLineChars="200"/>
        <w:rPr>
          <w:rFonts w:ascii="宋体" w:hAnsi="宋体" w:cs="宋体"/>
          <w:sz w:val="28"/>
          <w:szCs w:val="28"/>
        </w:rPr>
      </w:pPr>
      <w:r>
        <w:rPr>
          <w:rFonts w:ascii="宋体" w:hAnsi="宋体" w:cs="宋体"/>
          <w:sz w:val="28"/>
          <w:szCs w:val="28"/>
        </w:rPr>
        <w:t>在每年度的内部审核和管理评审时，要求全校从思想认知上增强质量意识，充分认识质量管理体系建设对于保障学校质量管理体系证书的签发/换证、船员培训许可证书的核验/再有效的重大意义；强化各部门负责人的日常领导，压实责任，确保质量管理体系能够在所有部门有效运行；全员参与，部门之间注重衔接与配合，形成质量管理体系建设之合力；强化宣贯培训学习，营造学习体系知识的良好氛围；各部门认真自觉执行质量管理体系文件的规定和要求；在执行过程中将体系不断完善，及时反馈缺陷和不足，推动体系的持续改进。</w:t>
      </w:r>
    </w:p>
    <w:p>
      <w:pPr>
        <w:spacing w:line="360" w:lineRule="auto"/>
        <w:ind w:firstLine="560" w:firstLineChars="200"/>
        <w:rPr>
          <w:rFonts w:ascii="宋体" w:hAnsi="宋体" w:cs="宋体"/>
          <w:sz w:val="28"/>
          <w:szCs w:val="28"/>
        </w:rPr>
      </w:pPr>
      <w:r>
        <w:rPr>
          <w:rFonts w:ascii="宋体" w:hAnsi="宋体" w:cs="宋体"/>
          <w:sz w:val="28"/>
          <w:szCs w:val="28"/>
        </w:rPr>
        <w:t>依据学校船员培训质量管理体系文件的要求，各部门结合本部门的工作实际情况，制订了一整套切实可行的工作流程和规章制度。在学校总的质量方针和质量目标的指导下，各部门进一步分解、制订本部门的具体质量目标。由于目标清晰明确，措施合理得当，各部门可规避以前工作中的盲目性；部门之间权责明确、沟通流畅，涉及工作接口交叉等情况时更加严谨，出错机率大幅减少。多年来，全校上下通过对质量管理体系知识的不断学习，全员质量意识显著提升</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ascii="宋体" w:hAnsi="宋体" w:cs="宋体"/>
          <w:sz w:val="28"/>
          <w:szCs w:val="28"/>
        </w:rPr>
        <w:t>质量管理体系已经实实在在地成为确保</w:t>
      </w:r>
      <w:r>
        <w:rPr>
          <w:rFonts w:hint="eastAsia" w:ascii="宋体" w:hAnsi="宋体" w:cs="宋体"/>
          <w:sz w:val="28"/>
          <w:szCs w:val="28"/>
        </w:rPr>
        <w:t>学校</w:t>
      </w:r>
      <w:r>
        <w:rPr>
          <w:rFonts w:ascii="宋体" w:hAnsi="宋体" w:cs="宋体"/>
          <w:sz w:val="28"/>
          <w:szCs w:val="28"/>
        </w:rPr>
        <w:t>各环节全流程各项教育教学工作质量的稳固压舱石。具体表现在：招生工作更加规范、教学满意度和学生管理满意度逐年提高、海船船员适任证书考试通过率居于省内同等院校前列、航海类专业毕业生就业质量提升等等。质量管理体系的连续有效运行，鞭策</w:t>
      </w:r>
      <w:r>
        <w:rPr>
          <w:rFonts w:hint="eastAsia" w:ascii="宋体" w:hAnsi="宋体" w:cs="宋体"/>
          <w:sz w:val="28"/>
          <w:szCs w:val="28"/>
        </w:rPr>
        <w:t>学校</w:t>
      </w:r>
      <w:r>
        <w:rPr>
          <w:rFonts w:ascii="宋体" w:hAnsi="宋体" w:cs="宋体"/>
          <w:sz w:val="28"/>
          <w:szCs w:val="28"/>
        </w:rPr>
        <w:t>继续将船员培训教育教学领域、航海类人才培养方面的各项工作坚定不移地向制度化、系统化、规范化的标准扎实推进、向纵深推进。</w:t>
      </w:r>
    </w:p>
    <w:p>
      <w:pPr>
        <w:spacing w:line="360" w:lineRule="auto"/>
        <w:ind w:firstLine="560" w:firstLineChars="200"/>
        <w:rPr>
          <w:rFonts w:ascii="仿宋" w:hAnsi="仿宋" w:eastAsia="仿宋" w:cs="仿宋"/>
          <w:sz w:val="28"/>
          <w:szCs w:val="28"/>
        </w:rPr>
      </w:pPr>
      <w:r>
        <w:rPr>
          <w:rFonts w:ascii="宋体" w:hAnsi="宋体" w:cs="宋体"/>
          <w:sz w:val="28"/>
          <w:szCs w:val="28"/>
        </w:rPr>
        <w:t>本</w:t>
      </w:r>
      <w:r>
        <w:rPr>
          <w:rFonts w:hint="eastAsia" w:ascii="宋体" w:hAnsi="宋体" w:cs="宋体"/>
          <w:sz w:val="28"/>
          <w:szCs w:val="28"/>
        </w:rPr>
        <w:t>年度</w:t>
      </w:r>
      <w:r>
        <w:rPr>
          <w:rFonts w:ascii="宋体" w:hAnsi="宋体" w:cs="宋体"/>
          <w:sz w:val="28"/>
          <w:szCs w:val="28"/>
        </w:rPr>
        <w:t>，学校结合</w:t>
      </w:r>
      <w:r>
        <w:rPr>
          <w:rFonts w:hint="eastAsia" w:ascii="宋体" w:hAnsi="宋体" w:cs="宋体"/>
          <w:sz w:val="28"/>
          <w:szCs w:val="28"/>
        </w:rPr>
        <w:t>有关船员培训重要法律法规和学校内部组织机构调整</w:t>
      </w:r>
      <w:r>
        <w:rPr>
          <w:rFonts w:ascii="宋体" w:hAnsi="宋体" w:cs="宋体"/>
          <w:sz w:val="28"/>
          <w:szCs w:val="28"/>
        </w:rPr>
        <w:t>，对</w:t>
      </w:r>
      <w:r>
        <w:rPr>
          <w:rFonts w:hint="eastAsia" w:ascii="宋体" w:hAnsi="宋体" w:cs="宋体"/>
          <w:sz w:val="28"/>
          <w:szCs w:val="28"/>
        </w:rPr>
        <w:t>船员培训质量管理体系文件</w:t>
      </w:r>
      <w:r>
        <w:rPr>
          <w:rFonts w:ascii="宋体" w:hAnsi="宋体" w:cs="宋体"/>
          <w:sz w:val="28"/>
          <w:szCs w:val="28"/>
        </w:rPr>
        <w:t>进行系统梳理和科学编制，形成</w:t>
      </w:r>
      <w:r>
        <w:rPr>
          <w:rFonts w:hint="eastAsia" w:ascii="宋体" w:hAnsi="宋体" w:cs="宋体"/>
          <w:sz w:val="28"/>
          <w:szCs w:val="28"/>
        </w:rPr>
        <w:t>新版船员培训质量管理体系文件，其中包括质量手册，程序文件27个，岗位工作指导书、管理文件、技术文件、外来文件组成的支持性文件，</w:t>
      </w:r>
      <w:r>
        <w:rPr>
          <w:rFonts w:ascii="宋体" w:hAnsi="宋体" w:cs="宋体"/>
          <w:sz w:val="28"/>
          <w:szCs w:val="28"/>
        </w:rPr>
        <w:t>确保人才培养过程井然有序。为验证学校船员培训质量管理体系的符合性、连续性和有效性，进一步提高学校航海类专业教育教学质量，10月17日至10月28日，</w:t>
      </w:r>
      <w:r>
        <w:rPr>
          <w:rFonts w:hint="eastAsia" w:ascii="宋体" w:hAnsi="宋体" w:cs="宋体"/>
          <w:sz w:val="28"/>
          <w:szCs w:val="28"/>
        </w:rPr>
        <w:t>学校</w:t>
      </w:r>
      <w:r>
        <w:rPr>
          <w:rFonts w:ascii="宋体" w:hAnsi="宋体" w:cs="宋体"/>
          <w:sz w:val="28"/>
          <w:szCs w:val="28"/>
        </w:rPr>
        <w:t>开展了2022年度船员培训质量管理体系内部审核。</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264785" cy="2590800"/>
            <wp:effectExtent l="0" t="0" r="12065" b="0"/>
            <wp:docPr id="2" name="图片 2" descr="微信图片_202211011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101112901"/>
                    <pic:cNvPicPr>
                      <a:picLocks noChangeAspect="1"/>
                    </pic:cNvPicPr>
                  </pic:nvPicPr>
                  <pic:blipFill>
                    <a:blip r:embed="rId14"/>
                    <a:stretch>
                      <a:fillRect/>
                    </a:stretch>
                  </pic:blipFill>
                  <pic:spPr>
                    <a:xfrm>
                      <a:off x="0" y="0"/>
                      <a:ext cx="5264785" cy="2590800"/>
                    </a:xfrm>
                    <a:prstGeom prst="rect">
                      <a:avLst/>
                    </a:prstGeom>
                    <a:noFill/>
                    <a:ln>
                      <a:noFill/>
                    </a:ln>
                  </pic:spPr>
                </pic:pic>
              </a:graphicData>
            </a:graphic>
          </wp:inline>
        </w:drawing>
      </w:r>
    </w:p>
    <w:p>
      <w:pPr>
        <w:spacing w:line="360" w:lineRule="auto"/>
        <w:ind w:firstLine="3640" w:firstLineChars="1300"/>
        <w:rPr>
          <w:rFonts w:ascii="仿宋" w:hAnsi="仿宋" w:eastAsia="仿宋" w:cs="仿宋"/>
          <w:sz w:val="28"/>
          <w:szCs w:val="28"/>
        </w:rPr>
      </w:pPr>
      <w:r>
        <w:rPr>
          <w:rFonts w:hint="eastAsia" w:ascii="仿宋" w:hAnsi="仿宋" w:eastAsia="仿宋" w:cs="仿宋"/>
          <w:sz w:val="28"/>
          <w:szCs w:val="28"/>
        </w:rPr>
        <w:t>内部审核首次会议</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2559050" cy="1927860"/>
            <wp:effectExtent l="0" t="0" r="12700" b="15240"/>
            <wp:docPr id="8" name="图片 2" descr="航海学院现场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航海学院现场审核"/>
                    <pic:cNvPicPr>
                      <a:picLocks noChangeAspect="1"/>
                    </pic:cNvPicPr>
                  </pic:nvPicPr>
                  <pic:blipFill>
                    <a:blip r:embed="rId15"/>
                    <a:stretch>
                      <a:fillRect/>
                    </a:stretch>
                  </pic:blipFill>
                  <pic:spPr>
                    <a:xfrm>
                      <a:off x="0" y="0"/>
                      <a:ext cx="2559050" cy="192786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522220" cy="1943100"/>
            <wp:effectExtent l="0" t="0" r="11430" b="0"/>
            <wp:docPr id="4" name="图片 3" descr="教务处现场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教务处现场审核"/>
                    <pic:cNvPicPr>
                      <a:picLocks noChangeAspect="1"/>
                    </pic:cNvPicPr>
                  </pic:nvPicPr>
                  <pic:blipFill>
                    <a:blip r:embed="rId16"/>
                    <a:stretch>
                      <a:fillRect/>
                    </a:stretch>
                  </pic:blipFill>
                  <pic:spPr>
                    <a:xfrm>
                      <a:off x="0" y="0"/>
                      <a:ext cx="2522220" cy="1943100"/>
                    </a:xfrm>
                    <a:prstGeom prst="rect">
                      <a:avLst/>
                    </a:prstGeom>
                    <a:noFill/>
                    <a:ln>
                      <a:noFill/>
                    </a:ln>
                  </pic:spPr>
                </pic:pic>
              </a:graphicData>
            </a:graphic>
          </wp:inline>
        </w:drawing>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航海学院现场审核                   教务处现场审核</w:t>
      </w:r>
    </w:p>
    <w:p>
      <w:pPr>
        <w:spacing w:line="360" w:lineRule="auto"/>
        <w:ind w:firstLine="560" w:firstLineChars="200"/>
        <w:rPr>
          <w:rFonts w:ascii="仿宋" w:hAnsi="仿宋" w:eastAsia="仿宋" w:cs="仿宋"/>
          <w:sz w:val="28"/>
          <w:szCs w:val="28"/>
        </w:rPr>
      </w:pP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2528570" cy="1946275"/>
            <wp:effectExtent l="0" t="0" r="5080" b="15875"/>
            <wp:docPr id="9" name="图片 4" descr="E:\质量体系\G-2\2022年内审\我校完成2022年度船员培训质量管理体系内审工作\质量管理中心现场审核.jpg质量管理中心现场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E:\质量体系\G-2\2022年内审\我校完成2022年度船员培训质量管理体系内审工作\质量管理中心现场审核.jpg质量管理中心现场审核"/>
                    <pic:cNvPicPr>
                      <a:picLocks noChangeAspect="1"/>
                    </pic:cNvPicPr>
                  </pic:nvPicPr>
                  <pic:blipFill>
                    <a:blip r:embed="rId17"/>
                    <a:stretch>
                      <a:fillRect/>
                    </a:stretch>
                  </pic:blipFill>
                  <pic:spPr>
                    <a:xfrm>
                      <a:off x="0" y="0"/>
                      <a:ext cx="2528570" cy="194627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529205" cy="1957070"/>
            <wp:effectExtent l="0" t="0" r="4445" b="5080"/>
            <wp:docPr id="6" name="图片 5" descr="E:\质量体系\G-2\2022年内审\我校完成2022年度船员培训质量管理体系内审工作\学生处现场审核.jpg学生处现场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质量体系\G-2\2022年内审\我校完成2022年度船员培训质量管理体系内审工作\学生处现场审核.jpg学生处现场审核"/>
                    <pic:cNvPicPr>
                      <a:picLocks noChangeAspect="1"/>
                    </pic:cNvPicPr>
                  </pic:nvPicPr>
                  <pic:blipFill>
                    <a:blip r:embed="rId18"/>
                    <a:stretch>
                      <a:fillRect/>
                    </a:stretch>
                  </pic:blipFill>
                  <pic:spPr>
                    <a:xfrm>
                      <a:off x="0" y="0"/>
                      <a:ext cx="2529205" cy="1957070"/>
                    </a:xfrm>
                    <a:prstGeom prst="rect">
                      <a:avLst/>
                    </a:prstGeom>
                    <a:noFill/>
                    <a:ln>
                      <a:noFill/>
                    </a:ln>
                  </pic:spPr>
                </pic:pic>
              </a:graphicData>
            </a:graphic>
          </wp:inline>
        </w:drawing>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质量管理中心现场审核               学生处现场审核</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083175" cy="3324225"/>
            <wp:effectExtent l="0" t="0" r="3175" b="9525"/>
            <wp:docPr id="10" name="图片 10" descr="末次会议会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末次会议会场"/>
                    <pic:cNvPicPr>
                      <a:picLocks noChangeAspect="1"/>
                    </pic:cNvPicPr>
                  </pic:nvPicPr>
                  <pic:blipFill>
                    <a:blip r:embed="rId19"/>
                    <a:stretch>
                      <a:fillRect/>
                    </a:stretch>
                  </pic:blipFill>
                  <pic:spPr>
                    <a:xfrm>
                      <a:off x="0" y="0"/>
                      <a:ext cx="5083175" cy="3324225"/>
                    </a:xfrm>
                    <a:prstGeom prst="rect">
                      <a:avLst/>
                    </a:prstGeom>
                    <a:noFill/>
                    <a:ln>
                      <a:noFill/>
                    </a:ln>
                  </pic:spPr>
                </pic:pic>
              </a:graphicData>
            </a:graphic>
          </wp:inline>
        </w:drawing>
      </w:r>
    </w:p>
    <w:p>
      <w:pPr>
        <w:spacing w:line="360" w:lineRule="auto"/>
        <w:ind w:firstLine="560" w:firstLineChars="200"/>
        <w:jc w:val="center"/>
        <w:rPr>
          <w:rFonts w:ascii="仿宋" w:hAnsi="仿宋" w:eastAsia="仿宋" w:cs="仿宋"/>
          <w:sz w:val="28"/>
          <w:szCs w:val="28"/>
        </w:rPr>
      </w:pPr>
      <w:r>
        <w:rPr>
          <w:rFonts w:hint="eastAsia" w:ascii="仿宋" w:hAnsi="仿宋" w:eastAsia="仿宋" w:cs="仿宋"/>
          <w:sz w:val="28"/>
          <w:szCs w:val="28"/>
        </w:rPr>
        <w:t>内部审核末次会议</w:t>
      </w:r>
    </w:p>
    <w:p>
      <w:pPr>
        <w:spacing w:line="360" w:lineRule="auto"/>
        <w:ind w:firstLine="560" w:firstLineChars="200"/>
        <w:rPr>
          <w:rFonts w:ascii="宋体" w:hAnsi="宋体" w:cs="宋体"/>
          <w:sz w:val="28"/>
          <w:szCs w:val="28"/>
        </w:rPr>
      </w:pPr>
      <w:r>
        <w:rPr>
          <w:rFonts w:ascii="宋体" w:hAnsi="宋体" w:cs="宋体"/>
          <w:sz w:val="28"/>
          <w:szCs w:val="28"/>
        </w:rPr>
        <w:t>在坚持运行内部质量保证体系，持续完善自我诊改、内部审核、管理评审、外部审核机制等四项常态化保障机制的保驾护航下，学校创新发展的责任意识与长效动力不断增强，并形成了良好的现代质量文化氛围与自主质量保证生态</w:t>
      </w:r>
      <w:r>
        <w:rPr>
          <w:rFonts w:hint="eastAsia" w:ascii="宋体" w:hAnsi="宋体" w:cs="宋体"/>
          <w:sz w:val="28"/>
          <w:szCs w:val="28"/>
        </w:rPr>
        <w:t>。</w:t>
      </w:r>
    </w:p>
    <w:p>
      <w:pPr>
        <w:spacing w:line="360" w:lineRule="auto"/>
        <w:ind w:firstLine="560" w:firstLineChars="200"/>
        <w:rPr>
          <w:rFonts w:ascii="仿宋" w:hAnsi="仿宋" w:eastAsia="仿宋" w:cs="仿宋"/>
          <w:sz w:val="28"/>
          <w:szCs w:val="28"/>
        </w:rPr>
      </w:pPr>
    </w:p>
    <w:p>
      <w:pPr>
        <w:pStyle w:val="2"/>
        <w:bidi w:val="0"/>
        <w:jc w:val="center"/>
      </w:pPr>
      <w:bookmarkStart w:id="38" w:name="_Toc59107836"/>
      <w:bookmarkStart w:id="39" w:name="_Toc59365600"/>
      <w:bookmarkStart w:id="40" w:name="_Toc59108030"/>
      <w:bookmarkStart w:id="41" w:name="_Toc8978"/>
      <w:r>
        <w:rPr>
          <w:rFonts w:hint="eastAsia"/>
        </w:rPr>
        <w:t>六、面临挑战</w:t>
      </w:r>
      <w:bookmarkEnd w:id="38"/>
      <w:bookmarkEnd w:id="39"/>
      <w:bookmarkEnd w:id="40"/>
      <w:bookmarkEnd w:id="41"/>
    </w:p>
    <w:p>
      <w:pPr>
        <w:pStyle w:val="3"/>
        <w:bidi w:val="0"/>
        <w:jc w:val="center"/>
        <w:rPr>
          <w:rFonts w:hint="eastAsia"/>
        </w:rPr>
      </w:pPr>
      <w:bookmarkStart w:id="42" w:name="_Toc59108031"/>
      <w:bookmarkStart w:id="43" w:name="_Toc59107837"/>
      <w:bookmarkStart w:id="44" w:name="_Toc28418009"/>
      <w:bookmarkStart w:id="45" w:name="_Toc59365601"/>
      <w:bookmarkStart w:id="46" w:name="_Toc25150"/>
      <w:r>
        <w:rPr>
          <w:rFonts w:hint="eastAsia"/>
        </w:rPr>
        <w:t>（一）存在问题</w:t>
      </w:r>
      <w:bookmarkEnd w:id="42"/>
      <w:bookmarkEnd w:id="43"/>
      <w:bookmarkEnd w:id="44"/>
      <w:bookmarkEnd w:id="45"/>
      <w:bookmarkEnd w:id="46"/>
    </w:p>
    <w:p>
      <w:pPr>
        <w:spacing w:line="360" w:lineRule="auto"/>
        <w:ind w:firstLine="560" w:firstLineChars="200"/>
        <w:rPr>
          <w:rFonts w:ascii="宋体" w:hAnsi="宋体" w:cs="宋体"/>
          <w:sz w:val="28"/>
          <w:szCs w:val="28"/>
        </w:rPr>
      </w:pPr>
      <w:r>
        <w:rPr>
          <w:rFonts w:hint="eastAsia" w:ascii="宋体" w:hAnsi="宋体" w:cs="宋体"/>
          <w:sz w:val="28"/>
          <w:szCs w:val="28"/>
        </w:rPr>
        <w:t>专业建设发展不均衡。目前，学校部分专业受社会人才需求、自身条件等多方面影响，整体水平有待提高。专业的品牌和特色创建工作有待加强，专业特色的凝炼与挖掘还需要进一步探索，同时专业的整体布局有待优化。</w:t>
      </w:r>
    </w:p>
    <w:p>
      <w:pPr>
        <w:spacing w:line="360" w:lineRule="auto"/>
        <w:ind w:firstLine="560" w:firstLineChars="200"/>
        <w:rPr>
          <w:rFonts w:ascii="仿宋" w:hAnsi="仿宋" w:eastAsia="仿宋" w:cs="仿宋"/>
          <w:sz w:val="28"/>
          <w:szCs w:val="28"/>
        </w:rPr>
      </w:pPr>
      <w:r>
        <w:rPr>
          <w:rFonts w:hint="eastAsia" w:ascii="宋体" w:hAnsi="宋体" w:cs="宋体"/>
          <w:sz w:val="28"/>
          <w:szCs w:val="28"/>
        </w:rPr>
        <w:t>较之以往，学校当前整体服务水平有很大提高，但以人为本的服务理念仍旧需要加强。受诸多因素制约，仍存在不尽如人意的地方，表现在以下几方面：部分教学设施设备已更新，但仍有少部分设备老化故障问题需要改进更新；教职员工服务理念仍需不断加强。</w:t>
      </w:r>
    </w:p>
    <w:p>
      <w:pPr>
        <w:pStyle w:val="3"/>
        <w:bidi w:val="0"/>
        <w:jc w:val="center"/>
        <w:rPr>
          <w:rFonts w:hint="eastAsia"/>
        </w:rPr>
      </w:pPr>
      <w:bookmarkStart w:id="47" w:name="_Toc59107838"/>
      <w:bookmarkStart w:id="48" w:name="_Toc28418010"/>
      <w:bookmarkStart w:id="49" w:name="_Toc59108032"/>
      <w:bookmarkStart w:id="50" w:name="_Toc59365602"/>
      <w:bookmarkStart w:id="51" w:name="_Toc9254"/>
      <w:r>
        <w:rPr>
          <w:rFonts w:hint="eastAsia"/>
        </w:rPr>
        <w:t>（二）应对措施</w:t>
      </w:r>
      <w:bookmarkEnd w:id="47"/>
      <w:bookmarkEnd w:id="48"/>
      <w:bookmarkEnd w:id="49"/>
      <w:bookmarkEnd w:id="50"/>
      <w:bookmarkEnd w:id="51"/>
    </w:p>
    <w:p>
      <w:pPr>
        <w:spacing w:line="360" w:lineRule="auto"/>
        <w:ind w:firstLine="560" w:firstLineChars="200"/>
        <w:rPr>
          <w:rFonts w:ascii="宋体" w:hAnsi="宋体" w:cs="宋体"/>
          <w:sz w:val="28"/>
          <w:szCs w:val="28"/>
        </w:rPr>
      </w:pPr>
      <w:r>
        <w:rPr>
          <w:rFonts w:hint="eastAsia" w:ascii="宋体" w:hAnsi="宋体" w:cs="宋体"/>
          <w:sz w:val="28"/>
          <w:szCs w:val="28"/>
        </w:rPr>
        <w:t>继续优化专业结构。明确办学定位，加强与企业沟通，开展人才市场调查研究，以企业和社会需求为导向，继续扩大校企合作规模，推进产教融合、强化基础专业建设，突出重点和特色专业建设，申报当前社会所需专业，逐步调整专业方向，形成特点鲜明、适应社会需要的专业群体系。</w:t>
      </w:r>
    </w:p>
    <w:p>
      <w:pPr>
        <w:spacing w:line="360" w:lineRule="auto"/>
        <w:ind w:firstLine="560" w:firstLineChars="200"/>
        <w:rPr>
          <w:rFonts w:ascii="宋体" w:hAnsi="宋体" w:cs="宋体"/>
          <w:sz w:val="28"/>
          <w:szCs w:val="28"/>
        </w:rPr>
      </w:pPr>
      <w:r>
        <w:rPr>
          <w:rFonts w:hint="eastAsia" w:ascii="宋体" w:hAnsi="宋体" w:cs="宋体"/>
          <w:sz w:val="28"/>
          <w:szCs w:val="28"/>
        </w:rPr>
        <w:t>加强教学改革力度，着重教学创新建设。强化现有教师的专业理论培训；继续加强“双师型”队伍建设；不断加强校企合作，为学生与企业之间架构一道相互促进、相互发展的桥梁，使学生们更直观，深入的接触与专业相关的企业工作。</w:t>
      </w:r>
    </w:p>
    <w:p>
      <w:pPr>
        <w:spacing w:line="360" w:lineRule="auto"/>
        <w:ind w:firstLine="560" w:firstLineChars="200"/>
        <w:rPr>
          <w:rFonts w:ascii="宋体" w:hAnsi="宋体" w:cs="宋体"/>
          <w:sz w:val="28"/>
          <w:szCs w:val="28"/>
        </w:rPr>
      </w:pPr>
      <w:r>
        <w:rPr>
          <w:rFonts w:hint="eastAsia" w:ascii="宋体" w:hAnsi="宋体" w:cs="宋体"/>
          <w:sz w:val="28"/>
          <w:szCs w:val="28"/>
        </w:rPr>
        <w:t>坚持以人为本，服务至上理念，切实关注全校师生切身利益诉求，继续提高学校整体服务水平。</w:t>
      </w:r>
    </w:p>
    <w:p>
      <w:pPr>
        <w:spacing w:line="360" w:lineRule="auto"/>
        <w:ind w:firstLine="560" w:firstLineChars="200"/>
        <w:rPr>
          <w:rFonts w:ascii="宋体" w:hAnsi="宋体" w:cs="宋体"/>
          <w:sz w:val="28"/>
          <w:szCs w:val="28"/>
        </w:rPr>
      </w:pPr>
      <w:r>
        <w:rPr>
          <w:rFonts w:hint="eastAsia" w:ascii="宋体" w:hAnsi="宋体" w:cs="宋体"/>
          <w:sz w:val="28"/>
          <w:szCs w:val="28"/>
        </w:rPr>
        <w:t>加强校企合作与自主投入相结合的力度，筹措资金，积极更新教学设施设备，改善实验实训条件。</w:t>
      </w:r>
    </w:p>
    <w:p>
      <w:pPr>
        <w:spacing w:line="360" w:lineRule="auto"/>
        <w:ind w:firstLine="560" w:firstLineChars="200"/>
        <w:rPr>
          <w:rFonts w:ascii="宋体" w:hAnsi="宋体" w:cs="宋体"/>
          <w:sz w:val="28"/>
          <w:szCs w:val="28"/>
          <w:lang w:val="zh-CN"/>
        </w:rPr>
      </w:pPr>
      <w:r>
        <w:rPr>
          <w:rFonts w:hint="eastAsia" w:ascii="宋体" w:hAnsi="宋体" w:cs="宋体"/>
          <w:sz w:val="28"/>
          <w:szCs w:val="28"/>
        </w:rPr>
        <w:t>继续提升相关部门的服务模式，采取更主动式的服务模式，不断升级在岗人员业务水平，使服务意识深入每一位教职员工心中。</w:t>
      </w:r>
    </w:p>
    <w:p>
      <w:pPr>
        <w:spacing w:line="360" w:lineRule="auto"/>
        <w:ind w:firstLine="560" w:firstLineChars="200"/>
        <w:rPr>
          <w:rFonts w:ascii="宋体" w:hAnsi="宋体" w:cs="宋体"/>
          <w:sz w:val="28"/>
          <w:szCs w:val="28"/>
          <w:lang w:val="zh-CN"/>
        </w:rPr>
      </w:pPr>
    </w:p>
    <w:p>
      <w:pPr>
        <w:spacing w:line="360" w:lineRule="auto"/>
        <w:ind w:firstLine="560" w:firstLineChars="200"/>
        <w:rPr>
          <w:rFonts w:ascii="宋体" w:hAnsi="宋体" w:cs="宋体"/>
          <w:sz w:val="28"/>
          <w:szCs w:val="28"/>
          <w:lang w:val="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宋体" w:hAnsi="宋体" w:cs="宋体"/>
          <w:b/>
          <w:bCs/>
          <w:sz w:val="28"/>
          <w:szCs w:val="36"/>
          <w:lang w:val="zh-CN"/>
        </w:rPr>
        <w:sectPr>
          <w:footerReference r:id="rId4" w:type="default"/>
          <w:pgSz w:w="11906" w:h="16838"/>
          <w:pgMar w:top="1440" w:right="1803" w:bottom="1440" w:left="1803"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ascii="宋体" w:hAnsi="宋体" w:cs="宋体"/>
          <w:b/>
          <w:bCs/>
          <w:sz w:val="28"/>
          <w:szCs w:val="36"/>
        </w:rPr>
      </w:pPr>
      <w:bookmarkStart w:id="52" w:name="_Toc20884"/>
      <w:r>
        <w:rPr>
          <w:rFonts w:hint="eastAsia" w:ascii="宋体" w:hAnsi="宋体" w:cs="宋体"/>
          <w:b/>
          <w:bCs/>
          <w:sz w:val="28"/>
          <w:szCs w:val="36"/>
          <w:lang w:val="zh-CN"/>
        </w:rPr>
        <w:t>附件</w:t>
      </w:r>
      <w:bookmarkEnd w:id="52"/>
    </w:p>
    <w:p>
      <w:pPr>
        <w:spacing w:before="256" w:line="219" w:lineRule="auto"/>
        <w:jc w:val="center"/>
        <w:rPr>
          <w:rFonts w:ascii="宋体" w:hAnsi="宋体" w:cs="宋体"/>
          <w:b/>
          <w:bCs/>
          <w:spacing w:val="6"/>
          <w:sz w:val="29"/>
          <w:szCs w:val="29"/>
        </w:rPr>
      </w:pPr>
      <w:r>
        <w:rPr>
          <w:rFonts w:ascii="宋体" w:hAnsi="宋体" w:cs="宋体"/>
          <w:b/>
          <w:bCs/>
          <w:spacing w:val="6"/>
          <w:sz w:val="29"/>
          <w:szCs w:val="29"/>
        </w:rPr>
        <w:t>表1计分卡</w:t>
      </w:r>
    </w:p>
    <w:p>
      <w:pPr>
        <w:spacing w:before="256" w:line="219" w:lineRule="auto"/>
        <w:jc w:val="left"/>
        <w:rPr>
          <w:rFonts w:hint="eastAsia" w:ascii="宋体" w:hAnsi="宋体" w:eastAsia="宋体" w:cs="宋体"/>
          <w:spacing w:val="4"/>
          <w:sz w:val="24"/>
          <w:lang w:eastAsia="zh-CN"/>
        </w:rPr>
      </w:pPr>
      <w:r>
        <w:rPr>
          <w:rFonts w:hint="eastAsia" w:ascii="宋体" w:hAnsi="宋体" w:eastAsia="宋体" w:cs="宋体"/>
          <w:spacing w:val="4"/>
          <w:sz w:val="24"/>
          <w:lang w:eastAsia="zh-CN"/>
        </w:rPr>
        <w:drawing>
          <wp:inline distT="0" distB="0" distL="114300" distR="114300">
            <wp:extent cx="5267325" cy="3611880"/>
            <wp:effectExtent l="0" t="0" r="9525" b="7620"/>
            <wp:docPr id="3" name="图片 3" descr="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计分卡_new"/>
                    <pic:cNvPicPr>
                      <a:picLocks noChangeAspect="1"/>
                    </pic:cNvPicPr>
                  </pic:nvPicPr>
                  <pic:blipFill>
                    <a:blip r:embed="rId20"/>
                    <a:stretch>
                      <a:fillRect/>
                    </a:stretch>
                  </pic:blipFill>
                  <pic:spPr>
                    <a:xfrm>
                      <a:off x="0" y="0"/>
                      <a:ext cx="5267325" cy="3611880"/>
                    </a:xfrm>
                    <a:prstGeom prst="rect">
                      <a:avLst/>
                    </a:prstGeom>
                  </pic:spPr>
                </pic:pic>
              </a:graphicData>
            </a:graphic>
          </wp:inline>
        </w:drawing>
      </w:r>
    </w:p>
    <w:p>
      <w:pPr>
        <w:spacing w:before="256" w:line="219" w:lineRule="auto"/>
        <w:jc w:val="center"/>
        <w:rPr>
          <w:rFonts w:ascii="宋体" w:hAnsi="宋体" w:cs="宋体"/>
          <w:b/>
          <w:bCs/>
          <w:spacing w:val="6"/>
          <w:sz w:val="29"/>
          <w:szCs w:val="29"/>
        </w:rPr>
      </w:pPr>
    </w:p>
    <w:p>
      <w:pPr>
        <w:spacing w:before="256" w:line="219" w:lineRule="auto"/>
        <w:jc w:val="center"/>
        <w:rPr>
          <w:rFonts w:ascii="宋体" w:hAnsi="宋体" w:cs="宋体"/>
          <w:b/>
          <w:bCs/>
          <w:spacing w:val="6"/>
          <w:sz w:val="29"/>
          <w:szCs w:val="29"/>
        </w:rPr>
      </w:pPr>
    </w:p>
    <w:p>
      <w:pPr>
        <w:spacing w:before="256" w:line="219" w:lineRule="auto"/>
        <w:jc w:val="center"/>
        <w:rPr>
          <w:rFonts w:ascii="宋体" w:hAnsi="宋体" w:cs="宋体"/>
          <w:b/>
          <w:bCs/>
          <w:spacing w:val="6"/>
          <w:sz w:val="29"/>
          <w:szCs w:val="29"/>
        </w:rPr>
      </w:pPr>
    </w:p>
    <w:p>
      <w:pPr>
        <w:spacing w:before="256" w:line="219" w:lineRule="auto"/>
        <w:jc w:val="center"/>
        <w:rPr>
          <w:rFonts w:ascii="宋体" w:hAnsi="宋体" w:cs="宋体"/>
          <w:b/>
          <w:bCs/>
          <w:spacing w:val="6"/>
          <w:sz w:val="29"/>
          <w:szCs w:val="29"/>
        </w:rPr>
      </w:pPr>
    </w:p>
    <w:p>
      <w:pPr>
        <w:spacing w:before="256" w:line="219" w:lineRule="auto"/>
        <w:jc w:val="center"/>
        <w:rPr>
          <w:rFonts w:ascii="宋体" w:hAnsi="宋体" w:cs="宋体"/>
          <w:b/>
          <w:bCs/>
          <w:spacing w:val="6"/>
          <w:sz w:val="29"/>
          <w:szCs w:val="29"/>
        </w:rPr>
      </w:pPr>
    </w:p>
    <w:p>
      <w:pPr>
        <w:spacing w:before="256" w:line="219" w:lineRule="auto"/>
        <w:jc w:val="center"/>
        <w:rPr>
          <w:rFonts w:ascii="宋体" w:hAnsi="宋体" w:cs="宋体"/>
          <w:b/>
          <w:bCs/>
          <w:spacing w:val="6"/>
          <w:sz w:val="29"/>
          <w:szCs w:val="29"/>
        </w:rPr>
      </w:pPr>
    </w:p>
    <w:p>
      <w:pPr>
        <w:spacing w:before="256" w:line="219" w:lineRule="auto"/>
        <w:jc w:val="center"/>
        <w:rPr>
          <w:rFonts w:ascii="宋体" w:hAnsi="宋体" w:cs="宋体"/>
          <w:b/>
          <w:bCs/>
          <w:spacing w:val="6"/>
          <w:sz w:val="29"/>
          <w:szCs w:val="29"/>
        </w:rPr>
        <w:sectPr>
          <w:pgSz w:w="11906" w:h="16838"/>
          <w:pgMar w:top="1440" w:right="1803" w:bottom="1440" w:left="1803" w:header="851" w:footer="992" w:gutter="0"/>
          <w:pgNumType w:fmt="decimal"/>
          <w:cols w:space="425" w:num="1"/>
          <w:docGrid w:type="lines" w:linePitch="312" w:charSpace="0"/>
        </w:sectPr>
      </w:pPr>
    </w:p>
    <w:p>
      <w:pPr>
        <w:spacing w:before="256" w:line="219" w:lineRule="auto"/>
        <w:jc w:val="center"/>
        <w:rPr>
          <w:rFonts w:ascii="宋体" w:hAnsi="宋体" w:cs="宋体"/>
          <w:b/>
          <w:bCs/>
          <w:spacing w:val="6"/>
          <w:sz w:val="29"/>
          <w:szCs w:val="29"/>
        </w:rPr>
      </w:pPr>
      <w:r>
        <w:rPr>
          <w:rFonts w:ascii="宋体" w:hAnsi="宋体" w:cs="宋体"/>
          <w:b/>
          <w:bCs/>
          <w:spacing w:val="6"/>
          <w:sz w:val="29"/>
          <w:szCs w:val="29"/>
        </w:rPr>
        <w:t>表2满意度调查表</w:t>
      </w:r>
    </w:p>
    <w:p>
      <w:pPr>
        <w:spacing w:before="256" w:line="219" w:lineRule="auto"/>
        <w:jc w:val="center"/>
        <w:rPr>
          <w:rFonts w:hint="eastAsia" w:ascii="宋体" w:hAnsi="宋体" w:eastAsia="宋体" w:cs="宋体"/>
          <w:b/>
          <w:bCs/>
          <w:spacing w:val="4"/>
          <w:sz w:val="29"/>
          <w:szCs w:val="29"/>
          <w:lang w:eastAsia="zh-CN"/>
        </w:rPr>
      </w:pPr>
      <w:r>
        <w:rPr>
          <w:rFonts w:hint="eastAsia" w:ascii="宋体" w:hAnsi="宋体" w:eastAsia="宋体" w:cs="宋体"/>
          <w:b/>
          <w:bCs/>
          <w:spacing w:val="6"/>
          <w:sz w:val="29"/>
          <w:szCs w:val="29"/>
          <w:lang w:eastAsia="zh-CN"/>
        </w:rPr>
        <w:drawing>
          <wp:inline distT="0" distB="0" distL="114300" distR="114300">
            <wp:extent cx="5267325" cy="3762375"/>
            <wp:effectExtent l="0" t="0" r="9525" b="9525"/>
            <wp:docPr id="11" name="图片 11" descr="满意度调查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满意度调查表_new"/>
                    <pic:cNvPicPr>
                      <a:picLocks noChangeAspect="1"/>
                    </pic:cNvPicPr>
                  </pic:nvPicPr>
                  <pic:blipFill>
                    <a:blip r:embed="rId21"/>
                    <a:stretch>
                      <a:fillRect/>
                    </a:stretch>
                  </pic:blipFill>
                  <pic:spPr>
                    <a:xfrm>
                      <a:off x="0" y="0"/>
                      <a:ext cx="5267325" cy="3762375"/>
                    </a:xfrm>
                    <a:prstGeom prst="rect">
                      <a:avLst/>
                    </a:prstGeom>
                  </pic:spPr>
                </pic:pic>
              </a:graphicData>
            </a:graphic>
          </wp:inline>
        </w:drawing>
      </w: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both"/>
        <w:rPr>
          <w:rFonts w:hint="eastAsia" w:ascii="宋体" w:hAnsi="宋体" w:eastAsia="宋体" w:cs="宋体"/>
          <w:b/>
          <w:bCs/>
          <w:spacing w:val="4"/>
          <w:sz w:val="29"/>
          <w:szCs w:val="29"/>
          <w:lang w:eastAsia="zh-CN"/>
        </w:rPr>
      </w:pPr>
    </w:p>
    <w:p>
      <w:pPr>
        <w:spacing w:before="256" w:line="219" w:lineRule="auto"/>
        <w:jc w:val="center"/>
        <w:rPr>
          <w:rFonts w:hint="eastAsia" w:ascii="宋体" w:hAnsi="宋体" w:cs="宋体"/>
          <w:b/>
          <w:bCs/>
          <w:spacing w:val="4"/>
          <w:sz w:val="29"/>
          <w:szCs w:val="29"/>
          <w:lang w:val="en-US" w:eastAsia="zh-CN"/>
        </w:rPr>
        <w:sectPr>
          <w:pgSz w:w="11906" w:h="16838"/>
          <w:pgMar w:top="1440" w:right="1803" w:bottom="1440" w:left="1803" w:header="851" w:footer="992" w:gutter="0"/>
          <w:pgNumType w:fmt="decimal"/>
          <w:cols w:space="425" w:num="1"/>
          <w:docGrid w:type="lines" w:linePitch="312" w:charSpace="0"/>
        </w:sectPr>
      </w:pPr>
    </w:p>
    <w:p>
      <w:pPr>
        <w:spacing w:before="256" w:line="219" w:lineRule="auto"/>
        <w:jc w:val="center"/>
        <w:rPr>
          <w:rFonts w:hint="default" w:ascii="宋体" w:hAnsi="宋体" w:eastAsia="宋体" w:cs="宋体"/>
          <w:b/>
          <w:bCs/>
          <w:spacing w:val="4"/>
          <w:sz w:val="29"/>
          <w:szCs w:val="29"/>
          <w:lang w:val="en-US" w:eastAsia="zh-CN"/>
        </w:rPr>
      </w:pPr>
      <w:r>
        <w:rPr>
          <w:rFonts w:hint="eastAsia" w:ascii="宋体" w:hAnsi="宋体" w:cs="宋体"/>
          <w:b/>
          <w:bCs/>
          <w:spacing w:val="4"/>
          <w:sz w:val="29"/>
          <w:szCs w:val="29"/>
          <w:lang w:val="en-US" w:eastAsia="zh-CN"/>
        </w:rPr>
        <w:t>表3 教学资源表</w:t>
      </w:r>
    </w:p>
    <w:p>
      <w:pPr>
        <w:spacing w:before="256" w:line="219" w:lineRule="auto"/>
        <w:jc w:val="both"/>
        <w:rPr>
          <w:rFonts w:ascii="宋体" w:hAnsi="宋体" w:cs="宋体"/>
          <w:b/>
          <w:bCs/>
          <w:spacing w:val="4"/>
          <w:sz w:val="29"/>
          <w:szCs w:val="29"/>
        </w:rPr>
      </w:pPr>
      <w:r>
        <w:rPr>
          <w:rFonts w:hint="eastAsia" w:ascii="宋体" w:hAnsi="宋体" w:eastAsia="宋体" w:cs="宋体"/>
          <w:b/>
          <w:bCs/>
          <w:spacing w:val="4"/>
          <w:sz w:val="29"/>
          <w:szCs w:val="29"/>
          <w:lang w:eastAsia="zh-CN"/>
        </w:rPr>
        <w:drawing>
          <wp:inline distT="0" distB="0" distL="114300" distR="114300">
            <wp:extent cx="4840605" cy="8003540"/>
            <wp:effectExtent l="0" t="0" r="17145" b="16510"/>
            <wp:docPr id="12" name="图片 12" descr="教学资源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教学资源表_new"/>
                    <pic:cNvPicPr>
                      <a:picLocks noChangeAspect="1"/>
                    </pic:cNvPicPr>
                  </pic:nvPicPr>
                  <pic:blipFill>
                    <a:blip r:embed="rId22"/>
                    <a:stretch>
                      <a:fillRect/>
                    </a:stretch>
                  </pic:blipFill>
                  <pic:spPr>
                    <a:xfrm>
                      <a:off x="0" y="0"/>
                      <a:ext cx="4840605" cy="8003540"/>
                    </a:xfrm>
                    <a:prstGeom prst="rect">
                      <a:avLst/>
                    </a:prstGeom>
                  </pic:spPr>
                </pic:pic>
              </a:graphicData>
            </a:graphic>
          </wp:inline>
        </w:drawing>
      </w:r>
    </w:p>
    <w:p>
      <w:pPr>
        <w:spacing w:before="256" w:line="219" w:lineRule="auto"/>
        <w:jc w:val="center"/>
        <w:rPr>
          <w:rFonts w:ascii="宋体" w:hAnsi="宋体" w:cs="宋体"/>
          <w:b/>
          <w:bCs/>
          <w:spacing w:val="4"/>
          <w:sz w:val="29"/>
          <w:szCs w:val="29"/>
        </w:rPr>
        <w:sectPr>
          <w:pgSz w:w="11906" w:h="16838"/>
          <w:pgMar w:top="1440" w:right="1803" w:bottom="1440" w:left="1803" w:header="851" w:footer="992" w:gutter="0"/>
          <w:pgNumType w:fmt="decimal"/>
          <w:cols w:space="425" w:num="1"/>
          <w:docGrid w:type="lines" w:linePitch="312" w:charSpace="0"/>
        </w:sectPr>
      </w:pPr>
    </w:p>
    <w:p>
      <w:pPr>
        <w:spacing w:before="256" w:line="219" w:lineRule="auto"/>
        <w:jc w:val="center"/>
        <w:rPr>
          <w:rFonts w:ascii="宋体" w:hAnsi="宋体" w:cs="宋体"/>
          <w:b/>
          <w:bCs/>
          <w:spacing w:val="4"/>
          <w:sz w:val="29"/>
          <w:szCs w:val="29"/>
        </w:rPr>
      </w:pPr>
      <w:r>
        <w:rPr>
          <w:rFonts w:ascii="宋体" w:hAnsi="宋体" w:cs="宋体"/>
          <w:b/>
          <w:bCs/>
          <w:spacing w:val="4"/>
          <w:sz w:val="29"/>
          <w:szCs w:val="29"/>
        </w:rPr>
        <w:t>表 4  国际影响表</w:t>
      </w:r>
    </w:p>
    <w:p>
      <w:pPr>
        <w:spacing w:before="246" w:line="219" w:lineRule="auto"/>
        <w:rPr>
          <w:rFonts w:hint="eastAsia" w:ascii="宋体" w:hAnsi="宋体" w:eastAsia="宋体" w:cs="宋体"/>
          <w:b/>
          <w:bCs/>
          <w:spacing w:val="-4"/>
          <w:sz w:val="29"/>
          <w:szCs w:val="29"/>
          <w:lang w:eastAsia="zh-CN"/>
        </w:rPr>
      </w:pPr>
      <w:r>
        <w:rPr>
          <w:rFonts w:hint="eastAsia" w:ascii="宋体" w:hAnsi="宋体" w:eastAsia="宋体" w:cs="宋体"/>
          <w:b/>
          <w:bCs/>
          <w:spacing w:val="-4"/>
          <w:sz w:val="29"/>
          <w:szCs w:val="29"/>
          <w:lang w:eastAsia="zh-CN"/>
        </w:rPr>
        <w:drawing>
          <wp:inline distT="0" distB="0" distL="114300" distR="114300">
            <wp:extent cx="5267325" cy="3386455"/>
            <wp:effectExtent l="0" t="0" r="9525" b="4445"/>
            <wp:docPr id="5" name="图片 5" descr="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际影响表_new"/>
                    <pic:cNvPicPr>
                      <a:picLocks noChangeAspect="1"/>
                    </pic:cNvPicPr>
                  </pic:nvPicPr>
                  <pic:blipFill>
                    <a:blip r:embed="rId23"/>
                    <a:stretch>
                      <a:fillRect/>
                    </a:stretch>
                  </pic:blipFill>
                  <pic:spPr>
                    <a:xfrm>
                      <a:off x="0" y="0"/>
                      <a:ext cx="5267325" cy="3386455"/>
                    </a:xfrm>
                    <a:prstGeom prst="rect">
                      <a:avLst/>
                    </a:prstGeom>
                  </pic:spPr>
                </pic:pic>
              </a:graphicData>
            </a:graphic>
          </wp:inline>
        </w:drawing>
      </w:r>
    </w:p>
    <w:p>
      <w:pPr>
        <w:spacing w:before="246" w:line="219" w:lineRule="auto"/>
        <w:ind w:left="3129"/>
        <w:rPr>
          <w:rFonts w:ascii="宋体" w:hAnsi="宋体" w:cs="宋体"/>
          <w:b/>
          <w:bCs/>
          <w:spacing w:val="-4"/>
          <w:sz w:val="29"/>
          <w:szCs w:val="29"/>
        </w:rPr>
        <w:sectPr>
          <w:pgSz w:w="11906" w:h="16838"/>
          <w:pgMar w:top="1440" w:right="1803" w:bottom="1440" w:left="1803" w:header="851" w:footer="992" w:gutter="0"/>
          <w:pgNumType w:fmt="decimal"/>
          <w:cols w:space="425" w:num="1"/>
          <w:docGrid w:type="lines" w:linePitch="312" w:charSpace="0"/>
        </w:sectPr>
      </w:pPr>
    </w:p>
    <w:p>
      <w:pPr>
        <w:spacing w:before="246" w:line="219" w:lineRule="auto"/>
        <w:ind w:left="3129"/>
        <w:rPr>
          <w:rFonts w:ascii="宋体" w:hAnsi="宋体" w:cs="宋体"/>
          <w:b/>
          <w:bCs/>
          <w:spacing w:val="-4"/>
          <w:sz w:val="29"/>
          <w:szCs w:val="29"/>
        </w:rPr>
      </w:pPr>
      <w:r>
        <w:rPr>
          <w:rFonts w:ascii="宋体" w:hAnsi="宋体" w:cs="宋体"/>
          <w:b/>
          <w:bCs/>
          <w:spacing w:val="-4"/>
          <w:sz w:val="29"/>
          <w:szCs w:val="29"/>
        </w:rPr>
        <w:t>表5</w:t>
      </w:r>
      <w:r>
        <w:rPr>
          <w:rFonts w:hint="eastAsia" w:ascii="宋体" w:hAnsi="宋体" w:cs="宋体"/>
          <w:b/>
          <w:bCs/>
          <w:spacing w:val="-4"/>
          <w:sz w:val="29"/>
          <w:szCs w:val="29"/>
          <w:lang w:val="en-US" w:eastAsia="zh-CN"/>
        </w:rPr>
        <w:t xml:space="preserve">  </w:t>
      </w:r>
      <w:r>
        <w:rPr>
          <w:rFonts w:ascii="宋体" w:hAnsi="宋体" w:cs="宋体"/>
          <w:b/>
          <w:bCs/>
          <w:spacing w:val="-4"/>
          <w:sz w:val="29"/>
          <w:szCs w:val="29"/>
        </w:rPr>
        <w:t>服务贡献表</w:t>
      </w:r>
    </w:p>
    <w:p>
      <w:pPr>
        <w:spacing w:before="246" w:line="219" w:lineRule="auto"/>
        <w:rPr>
          <w:rFonts w:hint="eastAsia" w:ascii="宋体" w:hAnsi="宋体" w:cs="宋体"/>
          <w:b/>
          <w:bCs/>
          <w:spacing w:val="-4"/>
          <w:sz w:val="29"/>
          <w:szCs w:val="29"/>
          <w:lang w:eastAsia="zh-CN"/>
        </w:rPr>
      </w:pPr>
      <w:bookmarkStart w:id="53" w:name="_GoBack"/>
      <w:bookmarkEnd w:id="53"/>
      <w:r>
        <w:rPr>
          <w:rFonts w:hint="eastAsia" w:ascii="宋体" w:hAnsi="宋体" w:cs="宋体"/>
          <w:b/>
          <w:bCs/>
          <w:spacing w:val="-4"/>
          <w:sz w:val="29"/>
          <w:szCs w:val="29"/>
          <w:lang w:eastAsia="zh-CN"/>
        </w:rPr>
        <w:drawing>
          <wp:inline distT="0" distB="0" distL="114300" distR="114300">
            <wp:extent cx="5267325" cy="5267325"/>
            <wp:effectExtent l="0" t="0" r="9525" b="9525"/>
            <wp:docPr id="20" name="图片 20" descr="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服务贡献表_new"/>
                    <pic:cNvPicPr>
                      <a:picLocks noChangeAspect="1"/>
                    </pic:cNvPicPr>
                  </pic:nvPicPr>
                  <pic:blipFill>
                    <a:blip r:embed="rId24"/>
                    <a:stretch>
                      <a:fillRect/>
                    </a:stretch>
                  </pic:blipFill>
                  <pic:spPr>
                    <a:xfrm>
                      <a:off x="0" y="0"/>
                      <a:ext cx="5267325" cy="5267325"/>
                    </a:xfrm>
                    <a:prstGeom prst="rect">
                      <a:avLst/>
                    </a:prstGeom>
                  </pic:spPr>
                </pic:pic>
              </a:graphicData>
            </a:graphic>
          </wp:inline>
        </w:drawing>
      </w:r>
    </w:p>
    <w:p>
      <w:pPr>
        <w:spacing w:before="246" w:line="219" w:lineRule="auto"/>
        <w:ind w:left="3129"/>
        <w:rPr>
          <w:rFonts w:hint="eastAsia" w:ascii="宋体" w:hAnsi="宋体" w:cs="宋体"/>
          <w:b/>
          <w:bCs/>
          <w:spacing w:val="-4"/>
          <w:sz w:val="29"/>
          <w:szCs w:val="29"/>
          <w:lang w:eastAsia="zh-CN"/>
        </w:rPr>
      </w:pPr>
    </w:p>
    <w:p>
      <w:pPr>
        <w:spacing w:before="246" w:line="219" w:lineRule="auto"/>
        <w:ind w:left="3129"/>
        <w:rPr>
          <w:rFonts w:hint="eastAsia" w:ascii="宋体" w:hAnsi="宋体" w:cs="宋体"/>
          <w:b/>
          <w:bCs/>
          <w:spacing w:val="-4"/>
          <w:sz w:val="29"/>
          <w:szCs w:val="29"/>
          <w:lang w:eastAsia="zh-CN"/>
        </w:rPr>
      </w:pPr>
    </w:p>
    <w:p>
      <w:pPr>
        <w:spacing w:before="246" w:line="219" w:lineRule="auto"/>
        <w:ind w:left="3129"/>
        <w:rPr>
          <w:rFonts w:hint="eastAsia" w:ascii="宋体" w:hAnsi="宋体" w:cs="宋体"/>
          <w:b/>
          <w:bCs/>
          <w:spacing w:val="-4"/>
          <w:sz w:val="29"/>
          <w:szCs w:val="29"/>
          <w:lang w:eastAsia="zh-CN"/>
        </w:rPr>
      </w:pPr>
    </w:p>
    <w:p>
      <w:pPr>
        <w:spacing w:before="246" w:line="219" w:lineRule="auto"/>
        <w:ind w:left="3129"/>
        <w:rPr>
          <w:rFonts w:hint="eastAsia" w:ascii="宋体" w:hAnsi="宋体" w:cs="宋体"/>
          <w:b/>
          <w:bCs/>
          <w:spacing w:val="-4"/>
          <w:sz w:val="29"/>
          <w:szCs w:val="29"/>
          <w:lang w:eastAsia="zh-CN"/>
        </w:rPr>
      </w:pPr>
    </w:p>
    <w:p>
      <w:pPr>
        <w:spacing w:before="246" w:line="219" w:lineRule="auto"/>
        <w:rPr>
          <w:rFonts w:hint="eastAsia" w:ascii="宋体" w:hAnsi="宋体" w:cs="宋体"/>
          <w:b/>
          <w:bCs/>
          <w:spacing w:val="-4"/>
          <w:sz w:val="29"/>
          <w:szCs w:val="29"/>
          <w:lang w:eastAsia="zh-CN"/>
        </w:rPr>
      </w:pPr>
    </w:p>
    <w:p>
      <w:pPr>
        <w:spacing w:before="246" w:line="219" w:lineRule="auto"/>
        <w:ind w:left="3129"/>
        <w:rPr>
          <w:rFonts w:hint="eastAsia" w:ascii="宋体" w:hAnsi="宋体" w:cs="宋体"/>
          <w:b/>
          <w:bCs/>
          <w:spacing w:val="-4"/>
          <w:sz w:val="29"/>
          <w:szCs w:val="29"/>
          <w:lang w:eastAsia="zh-CN"/>
        </w:rPr>
        <w:sectPr>
          <w:pgSz w:w="11906" w:h="16838"/>
          <w:pgMar w:top="1440" w:right="1803" w:bottom="1440" w:left="1803" w:header="851" w:footer="992" w:gutter="0"/>
          <w:pgNumType w:fmt="decimal"/>
          <w:cols w:space="425" w:num="1"/>
          <w:docGrid w:type="lines" w:linePitch="312" w:charSpace="0"/>
        </w:sectPr>
      </w:pPr>
    </w:p>
    <w:p>
      <w:pPr>
        <w:spacing w:before="246" w:line="219" w:lineRule="auto"/>
        <w:ind w:left="3129"/>
        <w:rPr>
          <w:rFonts w:hint="eastAsia" w:ascii="宋体" w:hAnsi="宋体" w:cs="宋体"/>
          <w:b/>
          <w:bCs/>
          <w:spacing w:val="-4"/>
          <w:sz w:val="29"/>
          <w:szCs w:val="29"/>
          <w:lang w:val="en-US" w:eastAsia="zh-CN"/>
        </w:rPr>
      </w:pPr>
      <w:r>
        <w:rPr>
          <w:rFonts w:hint="eastAsia" w:ascii="宋体" w:hAnsi="宋体" w:cs="宋体"/>
          <w:b/>
          <w:bCs/>
          <w:spacing w:val="-4"/>
          <w:sz w:val="29"/>
          <w:szCs w:val="29"/>
          <w:lang w:eastAsia="zh-CN"/>
        </w:rPr>
        <w:t>表</w:t>
      </w:r>
      <w:r>
        <w:rPr>
          <w:rFonts w:hint="eastAsia" w:ascii="宋体" w:hAnsi="宋体" w:cs="宋体"/>
          <w:b/>
          <w:bCs/>
          <w:spacing w:val="-4"/>
          <w:sz w:val="29"/>
          <w:szCs w:val="29"/>
          <w:lang w:val="en-US" w:eastAsia="zh-CN"/>
        </w:rPr>
        <w:t>6  落实政策表</w:t>
      </w:r>
    </w:p>
    <w:p>
      <w:pPr>
        <w:spacing w:before="246" w:line="219" w:lineRule="auto"/>
        <w:rPr>
          <w:rFonts w:hint="default" w:ascii="宋体" w:hAnsi="宋体" w:cs="宋体"/>
          <w:b/>
          <w:bCs/>
          <w:spacing w:val="-4"/>
          <w:sz w:val="29"/>
          <w:szCs w:val="29"/>
          <w:lang w:val="en-US" w:eastAsia="zh-CN"/>
        </w:rPr>
      </w:pPr>
      <w:r>
        <w:rPr>
          <w:rFonts w:hint="default" w:ascii="宋体" w:hAnsi="宋体" w:cs="宋体"/>
          <w:b/>
          <w:bCs/>
          <w:spacing w:val="-4"/>
          <w:sz w:val="29"/>
          <w:szCs w:val="29"/>
          <w:lang w:val="en-US" w:eastAsia="zh-CN"/>
        </w:rPr>
        <w:drawing>
          <wp:inline distT="0" distB="0" distL="114300" distR="114300">
            <wp:extent cx="5267325" cy="3160395"/>
            <wp:effectExtent l="0" t="0" r="9525" b="1905"/>
            <wp:docPr id="13" name="图片 13" descr="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落实政策表_new"/>
                    <pic:cNvPicPr>
                      <a:picLocks noChangeAspect="1"/>
                    </pic:cNvPicPr>
                  </pic:nvPicPr>
                  <pic:blipFill>
                    <a:blip r:embed="rId25"/>
                    <a:stretch>
                      <a:fillRect/>
                    </a:stretch>
                  </pic:blipFill>
                  <pic:spPr>
                    <a:xfrm>
                      <a:off x="0" y="0"/>
                      <a:ext cx="5267325" cy="3160395"/>
                    </a:xfrm>
                    <a:prstGeom prst="rect">
                      <a:avLst/>
                    </a:prstGeom>
                  </pic:spPr>
                </pic:pic>
              </a:graphicData>
            </a:graphic>
          </wp:inline>
        </w:drawing>
      </w:r>
    </w:p>
    <w:sectPr>
      <w:pgSz w:w="11906" w:h="16838"/>
      <w:pgMar w:top="1440" w:right="1803" w:bottom="1440" w:left="180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U3NmM0NGI3OWM4MTc0MTA1ODUwYTczYmU2MWFlNmEifQ=="/>
  </w:docVars>
  <w:rsids>
    <w:rsidRoot w:val="00423737"/>
    <w:rsid w:val="00066CBE"/>
    <w:rsid w:val="001C6D00"/>
    <w:rsid w:val="00423737"/>
    <w:rsid w:val="00435D77"/>
    <w:rsid w:val="005339F1"/>
    <w:rsid w:val="005934EE"/>
    <w:rsid w:val="005B64B7"/>
    <w:rsid w:val="007211DF"/>
    <w:rsid w:val="007521A9"/>
    <w:rsid w:val="007A510E"/>
    <w:rsid w:val="0083673D"/>
    <w:rsid w:val="008A4A9E"/>
    <w:rsid w:val="008B0734"/>
    <w:rsid w:val="008B5BA6"/>
    <w:rsid w:val="00987389"/>
    <w:rsid w:val="00A003CE"/>
    <w:rsid w:val="00A049D7"/>
    <w:rsid w:val="00AD4FF0"/>
    <w:rsid w:val="00BD0BAA"/>
    <w:rsid w:val="00C24D41"/>
    <w:rsid w:val="00C303F7"/>
    <w:rsid w:val="00DB6FAD"/>
    <w:rsid w:val="05432019"/>
    <w:rsid w:val="0AEC7467"/>
    <w:rsid w:val="0B261498"/>
    <w:rsid w:val="0CA42336"/>
    <w:rsid w:val="112D2AD0"/>
    <w:rsid w:val="132D5DFD"/>
    <w:rsid w:val="14950E6A"/>
    <w:rsid w:val="14970D2E"/>
    <w:rsid w:val="154B7E02"/>
    <w:rsid w:val="16816A5D"/>
    <w:rsid w:val="26ED3B03"/>
    <w:rsid w:val="270B499E"/>
    <w:rsid w:val="278A4A1B"/>
    <w:rsid w:val="2B5D450D"/>
    <w:rsid w:val="2DF36EF4"/>
    <w:rsid w:val="2E0A17DC"/>
    <w:rsid w:val="2FEF0006"/>
    <w:rsid w:val="30580361"/>
    <w:rsid w:val="32111360"/>
    <w:rsid w:val="33DD04F2"/>
    <w:rsid w:val="35732F39"/>
    <w:rsid w:val="3A1942C1"/>
    <w:rsid w:val="3AD03A0C"/>
    <w:rsid w:val="3AF44EAC"/>
    <w:rsid w:val="41BE5A2A"/>
    <w:rsid w:val="44446C38"/>
    <w:rsid w:val="45062A6A"/>
    <w:rsid w:val="482D1F14"/>
    <w:rsid w:val="482D62EB"/>
    <w:rsid w:val="495D3D20"/>
    <w:rsid w:val="4C443F49"/>
    <w:rsid w:val="4F506F55"/>
    <w:rsid w:val="52887459"/>
    <w:rsid w:val="567F04A7"/>
    <w:rsid w:val="578F7478"/>
    <w:rsid w:val="591D3176"/>
    <w:rsid w:val="5A6A0834"/>
    <w:rsid w:val="5E9E512E"/>
    <w:rsid w:val="5F7776D5"/>
    <w:rsid w:val="60005605"/>
    <w:rsid w:val="631C3B90"/>
    <w:rsid w:val="638A2DB2"/>
    <w:rsid w:val="63C461FD"/>
    <w:rsid w:val="646568A2"/>
    <w:rsid w:val="646C1C01"/>
    <w:rsid w:val="65C7794D"/>
    <w:rsid w:val="67E43441"/>
    <w:rsid w:val="6AAD547F"/>
    <w:rsid w:val="6CFD400C"/>
    <w:rsid w:val="6DF55703"/>
    <w:rsid w:val="72274CE9"/>
    <w:rsid w:val="757C0EF5"/>
    <w:rsid w:val="770A2C92"/>
    <w:rsid w:val="79CE3FE2"/>
    <w:rsid w:val="7AD87261"/>
    <w:rsid w:val="7CD36AC6"/>
    <w:rsid w:val="7DBA6B62"/>
    <w:rsid w:val="7E15779B"/>
    <w:rsid w:val="7E977228"/>
    <w:rsid w:val="7F0D0F0A"/>
    <w:rsid w:val="7FC005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right" w:leader="dot" w:pos="8296"/>
      </w:tabs>
      <w:spacing w:before="120" w:after="120"/>
      <w:jc w:val="left"/>
    </w:pPr>
    <w:rPr>
      <w:b/>
      <w:bCs/>
      <w:caps/>
      <w:sz w:val="18"/>
      <w:szCs w:val="18"/>
    </w:rPr>
  </w:style>
  <w:style w:type="paragraph" w:styleId="8">
    <w:name w:val="toc 2"/>
    <w:basedOn w:val="1"/>
    <w:next w:val="1"/>
    <w:qFormat/>
    <w:uiPriority w:val="0"/>
    <w:pPr>
      <w:ind w:left="420" w:leftChars="200"/>
    </w:p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table" w:styleId="11">
    <w:name w:val="Table Grid"/>
    <w:basedOn w:val="1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qFormat/>
    <w:uiPriority w:val="99"/>
    <w:rPr>
      <w:color w:val="0000FF"/>
      <w:u w:val="single"/>
    </w:rPr>
  </w:style>
  <w:style w:type="paragraph" w:customStyle="1" w:styleId="15">
    <w:name w:val="_Style 3"/>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16">
    <w:name w:val="Table Normal"/>
    <w:semiHidden/>
    <w:unhideWhenUsed/>
    <w:qFormat/>
    <w:uiPriority w:val="0"/>
    <w:tblPr>
      <w:tblCellMar>
        <w:top w:w="0" w:type="dxa"/>
        <w:left w:w="0" w:type="dxa"/>
        <w:bottom w:w="0" w:type="dxa"/>
        <w:right w:w="0" w:type="dxa"/>
      </w:tblCellMar>
    </w:tblPr>
  </w:style>
  <w:style w:type="character" w:customStyle="1" w:styleId="17">
    <w:name w:val="批注框文本 Char"/>
    <w:basedOn w:val="12"/>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7587</Words>
  <Characters>7695</Characters>
  <Lines>80</Lines>
  <Paragraphs>22</Paragraphs>
  <TotalTime>0</TotalTime>
  <ScaleCrop>false</ScaleCrop>
  <LinksUpToDate>false</LinksUpToDate>
  <CharactersWithSpaces>7763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2021-11-18T02:42:00Z</dcterms:created>
  <dc:creator>Administrator.USER-20210128UM</dc:creator>
  <cp:lastModifiedBy>王如卓</cp:lastModifiedBy>
  <cp:lastPrinted>2021-11-26T06:26:00Z</cp:lastPrinted>
  <dcterms:modified xsi:type="dcterms:W3CDTF">2022-12-27T07:36:56Z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0FF9F725692F4DB381E7868998B3C6E4</vt:lpwstr>
  </property>
</Properties>
</file>